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7D391" w14:textId="77777777" w:rsidR="00CE77F9" w:rsidRPr="00F9265E" w:rsidRDefault="00CE77F9" w:rsidP="00CE77F9">
      <w:pPr>
        <w:shd w:val="clear" w:color="auto" w:fill="F3EED8"/>
        <w:spacing w:after="240" w:line="240" w:lineRule="auto"/>
        <w:outlineLvl w:val="0"/>
        <w:rPr>
          <w:rFonts w:ascii="Arial" w:eastAsia="Times New Roman" w:hAnsi="Arial" w:cs="Arial"/>
          <w:b/>
          <w:bCs/>
          <w:color w:val="58361C"/>
          <w:kern w:val="36"/>
          <w:sz w:val="24"/>
          <w:szCs w:val="24"/>
        </w:rPr>
      </w:pPr>
      <w:r w:rsidRPr="00F9265E">
        <w:rPr>
          <w:rFonts w:ascii="Arial" w:eastAsia="Times New Roman" w:hAnsi="Arial" w:cs="Arial"/>
          <w:b/>
          <w:bCs/>
          <w:color w:val="AF9980"/>
          <w:kern w:val="36"/>
          <w:sz w:val="24"/>
          <w:szCs w:val="24"/>
        </w:rPr>
        <w:t>ORS</w:t>
      </w:r>
      <w:r w:rsidRPr="00F9265E">
        <w:rPr>
          <w:rFonts w:ascii="Arial" w:eastAsia="Times New Roman" w:hAnsi="Arial" w:cs="Arial"/>
          <w:b/>
          <w:bCs/>
          <w:color w:val="58361C"/>
          <w:kern w:val="36"/>
          <w:sz w:val="24"/>
          <w:szCs w:val="24"/>
        </w:rPr>
        <w:t> 147.015</w:t>
      </w:r>
      <w:r w:rsidRPr="00F9265E">
        <w:rPr>
          <w:rFonts w:ascii="Arial" w:eastAsia="Times New Roman" w:hAnsi="Arial" w:cs="Arial"/>
          <w:b/>
          <w:bCs/>
          <w:color w:val="AF9980"/>
          <w:kern w:val="36"/>
          <w:sz w:val="24"/>
          <w:szCs w:val="24"/>
        </w:rPr>
        <w:t>¹</w:t>
      </w:r>
    </w:p>
    <w:p w14:paraId="60BC141A" w14:textId="77777777" w:rsidR="00CE77F9" w:rsidRPr="00F9265E" w:rsidRDefault="00CE77F9" w:rsidP="00CE77F9">
      <w:pPr>
        <w:shd w:val="clear" w:color="auto" w:fill="F3EED8"/>
        <w:spacing w:after="240" w:line="240" w:lineRule="auto"/>
        <w:outlineLvl w:val="0"/>
        <w:rPr>
          <w:rFonts w:ascii="Arial" w:eastAsia="Times New Roman" w:hAnsi="Arial" w:cs="Arial"/>
          <w:b/>
          <w:bCs/>
          <w:color w:val="58361C"/>
          <w:kern w:val="36"/>
          <w:sz w:val="24"/>
          <w:szCs w:val="24"/>
        </w:rPr>
      </w:pPr>
      <w:r w:rsidRPr="00F9265E">
        <w:rPr>
          <w:rFonts w:ascii="Arial" w:eastAsia="Times New Roman" w:hAnsi="Arial" w:cs="Arial"/>
          <w:b/>
          <w:bCs/>
          <w:color w:val="58361C"/>
          <w:kern w:val="36"/>
          <w:sz w:val="24"/>
          <w:szCs w:val="24"/>
        </w:rPr>
        <w:t>Eligibility for compensation generally</w:t>
      </w:r>
    </w:p>
    <w:p w14:paraId="458146E4" w14:textId="0C4CBEF0" w:rsidR="00CE77F9" w:rsidRPr="00CE77F9" w:rsidRDefault="00CE77F9" w:rsidP="00CE77F9">
      <w:pPr>
        <w:shd w:val="clear" w:color="auto" w:fill="F3EED8"/>
        <w:spacing w:before="225" w:after="0" w:line="432" w:lineRule="atLeast"/>
        <w:ind w:left="480"/>
        <w:rPr>
          <w:rFonts w:ascii="Arial" w:eastAsia="Times New Roman" w:hAnsi="Arial" w:cs="Arial"/>
          <w:color w:val="352D27"/>
          <w:sz w:val="24"/>
          <w:szCs w:val="24"/>
        </w:rPr>
      </w:pPr>
      <w:r w:rsidRPr="00CE77F9">
        <w:rPr>
          <w:rFonts w:ascii="Arial" w:eastAsia="Times New Roman" w:hAnsi="Arial" w:cs="Arial"/>
          <w:b/>
          <w:bCs/>
          <w:color w:val="241C16"/>
          <w:sz w:val="26"/>
          <w:szCs w:val="26"/>
        </w:rPr>
        <w:t>(1)</w:t>
      </w:r>
      <w:r w:rsidRPr="00CE77F9">
        <w:rPr>
          <w:rFonts w:ascii="Arial" w:eastAsia="Times New Roman" w:hAnsi="Arial" w:cs="Arial"/>
          <w:color w:val="352D27"/>
          <w:sz w:val="24"/>
          <w:szCs w:val="24"/>
        </w:rPr>
        <w:t>A person is eligible for an award of compensation under ORS </w:t>
      </w:r>
      <w:hyperlink r:id="rId5" w:history="1">
        <w:r w:rsidRPr="00CE77F9">
          <w:rPr>
            <w:rFonts w:ascii="Arial" w:eastAsia="Times New Roman" w:hAnsi="Arial" w:cs="Arial"/>
            <w:b/>
            <w:bCs/>
            <w:color w:val="004276"/>
            <w:sz w:val="24"/>
            <w:szCs w:val="24"/>
            <w:u w:val="single"/>
          </w:rPr>
          <w:t>147.005 </w:t>
        </w:r>
        <w:r w:rsidRPr="00CE77F9">
          <w:rPr>
            <w:rFonts w:ascii="Arial" w:eastAsia="Times New Roman" w:hAnsi="Arial" w:cs="Arial"/>
            <w:b/>
            <w:bCs/>
            <w:color w:val="004276"/>
            <w:sz w:val="24"/>
            <w:szCs w:val="24"/>
          </w:rPr>
          <w:t>(Definitions)</w:t>
        </w:r>
      </w:hyperlink>
      <w:r w:rsidRPr="00CE77F9">
        <w:rPr>
          <w:rFonts w:ascii="Arial" w:eastAsia="Times New Roman" w:hAnsi="Arial" w:cs="Arial"/>
          <w:color w:val="352D27"/>
          <w:sz w:val="24"/>
          <w:szCs w:val="24"/>
        </w:rPr>
        <w:t> to </w:t>
      </w:r>
      <w:hyperlink r:id="rId6" w:history="1">
        <w:r w:rsidRPr="00CE77F9">
          <w:rPr>
            <w:rFonts w:ascii="Arial" w:eastAsia="Times New Roman" w:hAnsi="Arial" w:cs="Arial"/>
            <w:b/>
            <w:bCs/>
            <w:color w:val="004276"/>
            <w:sz w:val="24"/>
            <w:szCs w:val="24"/>
            <w:u w:val="single"/>
          </w:rPr>
          <w:t>147.367 </w:t>
        </w:r>
        <w:r w:rsidRPr="00CE77F9">
          <w:rPr>
            <w:rFonts w:ascii="Arial" w:eastAsia="Times New Roman" w:hAnsi="Arial" w:cs="Arial"/>
            <w:b/>
            <w:bCs/>
            <w:color w:val="004276"/>
            <w:sz w:val="24"/>
            <w:szCs w:val="24"/>
          </w:rPr>
          <w:t>(Services to victims of acts of mass destruction)</w:t>
        </w:r>
      </w:hyperlink>
      <w:r w:rsidRPr="00CE77F9">
        <w:rPr>
          <w:rFonts w:ascii="Arial" w:eastAsia="Times New Roman" w:hAnsi="Arial" w:cs="Arial"/>
          <w:color w:val="352D27"/>
          <w:sz w:val="24"/>
          <w:szCs w:val="24"/>
        </w:rPr>
        <w:t> if:</w:t>
      </w:r>
    </w:p>
    <w:p w14:paraId="0B897DAF" w14:textId="77777777" w:rsidR="00CE77F9" w:rsidRPr="00CE77F9" w:rsidRDefault="00CE77F9" w:rsidP="00CE77F9">
      <w:pPr>
        <w:shd w:val="clear" w:color="auto" w:fill="F3EED8"/>
        <w:spacing w:before="192" w:after="0" w:line="432" w:lineRule="atLeast"/>
        <w:ind w:left="960"/>
        <w:rPr>
          <w:rFonts w:ascii="Arial" w:eastAsia="Times New Roman" w:hAnsi="Arial" w:cs="Arial"/>
          <w:color w:val="352D27"/>
          <w:sz w:val="24"/>
          <w:szCs w:val="24"/>
        </w:rPr>
      </w:pPr>
      <w:r w:rsidRPr="00CE77F9">
        <w:rPr>
          <w:rFonts w:ascii="Arial" w:eastAsia="Times New Roman" w:hAnsi="Arial" w:cs="Arial"/>
          <w:b/>
          <w:bCs/>
          <w:color w:val="241C16"/>
          <w:sz w:val="25"/>
          <w:szCs w:val="25"/>
        </w:rPr>
        <w:t>(a)</w:t>
      </w:r>
      <w:r w:rsidRPr="00CE77F9">
        <w:rPr>
          <w:rFonts w:ascii="Arial" w:eastAsia="Times New Roman" w:hAnsi="Arial" w:cs="Arial"/>
          <w:color w:val="352D27"/>
          <w:sz w:val="24"/>
          <w:szCs w:val="24"/>
        </w:rPr>
        <w:t>The person is a victim, or is a survivor or dependent of a deceased victim, of a compensable crime that has resulted in or may result in a compensable loss;</w:t>
      </w:r>
    </w:p>
    <w:p w14:paraId="34A768C8" w14:textId="77777777" w:rsidR="00CE77F9" w:rsidRPr="00CE77F9" w:rsidRDefault="00CE77F9" w:rsidP="00CE77F9">
      <w:pPr>
        <w:shd w:val="clear" w:color="auto" w:fill="F3EED8"/>
        <w:spacing w:before="192" w:after="0" w:line="432" w:lineRule="atLeast"/>
        <w:ind w:left="960"/>
        <w:rPr>
          <w:rFonts w:ascii="Arial" w:eastAsia="Times New Roman" w:hAnsi="Arial" w:cs="Arial"/>
          <w:color w:val="352D27"/>
          <w:sz w:val="24"/>
          <w:szCs w:val="24"/>
        </w:rPr>
      </w:pPr>
      <w:r w:rsidRPr="00CE77F9">
        <w:rPr>
          <w:rFonts w:ascii="Arial" w:eastAsia="Times New Roman" w:hAnsi="Arial" w:cs="Arial"/>
          <w:b/>
          <w:bCs/>
          <w:color w:val="241C16"/>
          <w:sz w:val="25"/>
          <w:szCs w:val="25"/>
        </w:rPr>
        <w:t>(b)</w:t>
      </w:r>
      <w:r w:rsidRPr="00CE77F9">
        <w:rPr>
          <w:rFonts w:ascii="Arial" w:eastAsia="Times New Roman" w:hAnsi="Arial" w:cs="Arial"/>
          <w:color w:val="352D27"/>
          <w:sz w:val="24"/>
          <w:szCs w:val="24"/>
        </w:rPr>
        <w:t>The appropriate law enforcement officials were notified of the perpetration of the crime allegedly causing the death or injury to the victim, unless the Department of Justice finds good cause exists for the failure of notification;</w:t>
      </w:r>
    </w:p>
    <w:p w14:paraId="156BA211" w14:textId="77777777" w:rsidR="00CE77F9" w:rsidRPr="00CE77F9" w:rsidRDefault="00CE77F9" w:rsidP="00CE77F9">
      <w:pPr>
        <w:shd w:val="clear" w:color="auto" w:fill="F3EED8"/>
        <w:spacing w:before="192" w:after="0" w:line="432" w:lineRule="atLeast"/>
        <w:ind w:left="960"/>
        <w:rPr>
          <w:rFonts w:ascii="Arial" w:eastAsia="Times New Roman" w:hAnsi="Arial" w:cs="Arial"/>
          <w:color w:val="352D27"/>
          <w:sz w:val="24"/>
          <w:szCs w:val="24"/>
        </w:rPr>
      </w:pPr>
      <w:r w:rsidRPr="00CE77F9">
        <w:rPr>
          <w:rFonts w:ascii="Arial" w:eastAsia="Times New Roman" w:hAnsi="Arial" w:cs="Arial"/>
          <w:b/>
          <w:bCs/>
          <w:color w:val="241C16"/>
          <w:sz w:val="25"/>
          <w:szCs w:val="25"/>
        </w:rPr>
        <w:t>(c)</w:t>
      </w:r>
      <w:r w:rsidRPr="00CE77F9">
        <w:rPr>
          <w:rFonts w:ascii="Arial" w:eastAsia="Times New Roman" w:hAnsi="Arial" w:cs="Arial"/>
          <w:color w:val="352D27"/>
          <w:sz w:val="24"/>
          <w:szCs w:val="24"/>
        </w:rPr>
        <w:t>The notification described in paragraph (b) of this subsection occurred within 72 hours after the perpetration of the crime, unless the Department of Justice finds good cause exists for the failure of notification within 72 hours;</w:t>
      </w:r>
    </w:p>
    <w:p w14:paraId="5D351EBF" w14:textId="77777777" w:rsidR="00CE77F9" w:rsidRPr="00CE77F9" w:rsidRDefault="00CE77F9" w:rsidP="00CE77F9">
      <w:pPr>
        <w:shd w:val="clear" w:color="auto" w:fill="F3EED8"/>
        <w:spacing w:before="192" w:after="0" w:line="432" w:lineRule="atLeast"/>
        <w:ind w:left="960"/>
        <w:rPr>
          <w:rFonts w:ascii="Arial" w:eastAsia="Times New Roman" w:hAnsi="Arial" w:cs="Arial"/>
          <w:color w:val="352D27"/>
          <w:sz w:val="24"/>
          <w:szCs w:val="24"/>
        </w:rPr>
      </w:pPr>
      <w:r w:rsidRPr="00CE77F9">
        <w:rPr>
          <w:rFonts w:ascii="Arial" w:eastAsia="Times New Roman" w:hAnsi="Arial" w:cs="Arial"/>
          <w:b/>
          <w:bCs/>
          <w:color w:val="241C16"/>
          <w:sz w:val="25"/>
          <w:szCs w:val="25"/>
        </w:rPr>
        <w:t>(d)</w:t>
      </w:r>
      <w:r w:rsidRPr="00CE77F9">
        <w:rPr>
          <w:rFonts w:ascii="Arial" w:eastAsia="Times New Roman" w:hAnsi="Arial" w:cs="Arial"/>
          <w:color w:val="352D27"/>
          <w:sz w:val="24"/>
          <w:szCs w:val="24"/>
        </w:rPr>
        <w:t>The applicant cooperated with law enforcement officials in the apprehension and prosecution of the assailant or the department has found that the applicant’s failure to cooperate was for good cause;</w:t>
      </w:r>
    </w:p>
    <w:p w14:paraId="59E9648B" w14:textId="77777777" w:rsidR="00CE77F9" w:rsidRPr="00CE77F9" w:rsidRDefault="00CE77F9" w:rsidP="00CE77F9">
      <w:pPr>
        <w:shd w:val="clear" w:color="auto" w:fill="F3EED8"/>
        <w:spacing w:before="192" w:after="0" w:line="432" w:lineRule="atLeast"/>
        <w:ind w:left="960"/>
        <w:rPr>
          <w:rFonts w:ascii="Arial" w:eastAsia="Times New Roman" w:hAnsi="Arial" w:cs="Arial"/>
          <w:color w:val="352D27"/>
          <w:sz w:val="24"/>
          <w:szCs w:val="24"/>
        </w:rPr>
      </w:pPr>
      <w:r w:rsidRPr="00CE77F9">
        <w:rPr>
          <w:rFonts w:ascii="Arial" w:eastAsia="Times New Roman" w:hAnsi="Arial" w:cs="Arial"/>
          <w:b/>
          <w:bCs/>
          <w:color w:val="241C16"/>
          <w:sz w:val="25"/>
          <w:szCs w:val="25"/>
        </w:rPr>
        <w:t>(e)</w:t>
      </w:r>
      <w:r w:rsidRPr="00CE77F9">
        <w:rPr>
          <w:rFonts w:ascii="Arial" w:eastAsia="Times New Roman" w:hAnsi="Arial" w:cs="Arial"/>
          <w:color w:val="352D27"/>
          <w:sz w:val="24"/>
          <w:szCs w:val="24"/>
        </w:rPr>
        <w:t>The application for compensation is not the result of collusion between the applicant and the assailant of the victim;</w:t>
      </w:r>
    </w:p>
    <w:p w14:paraId="69C31C8F" w14:textId="77777777" w:rsidR="00CE77F9" w:rsidRPr="00CE77F9" w:rsidRDefault="00CE77F9" w:rsidP="00CE77F9">
      <w:pPr>
        <w:shd w:val="clear" w:color="auto" w:fill="F3EED8"/>
        <w:spacing w:before="192" w:after="0" w:line="432" w:lineRule="atLeast"/>
        <w:ind w:left="960"/>
        <w:rPr>
          <w:rFonts w:ascii="Arial" w:eastAsia="Times New Roman" w:hAnsi="Arial" w:cs="Arial"/>
          <w:color w:val="352D27"/>
          <w:sz w:val="24"/>
          <w:szCs w:val="24"/>
        </w:rPr>
      </w:pPr>
      <w:r w:rsidRPr="00CE77F9">
        <w:rPr>
          <w:rFonts w:ascii="Arial" w:eastAsia="Times New Roman" w:hAnsi="Arial" w:cs="Arial"/>
          <w:b/>
          <w:bCs/>
          <w:color w:val="241C16"/>
          <w:sz w:val="25"/>
          <w:szCs w:val="25"/>
        </w:rPr>
        <w:t>(f)</w:t>
      </w:r>
      <w:r w:rsidRPr="00CE77F9">
        <w:rPr>
          <w:rFonts w:ascii="Arial" w:eastAsia="Times New Roman" w:hAnsi="Arial" w:cs="Arial"/>
          <w:color w:val="352D27"/>
          <w:sz w:val="24"/>
          <w:szCs w:val="24"/>
        </w:rPr>
        <w:t>The death or injury to the victim was not substantially attributable to the wrongful act of the victim; </w:t>
      </w:r>
      <w:r w:rsidRPr="00CE77F9">
        <w:rPr>
          <w:rFonts w:ascii="Arial" w:eastAsia="Times New Roman" w:hAnsi="Arial" w:cs="Arial"/>
          <w:b/>
          <w:bCs/>
          <w:color w:val="000000"/>
          <w:spacing w:val="12"/>
          <w:sz w:val="24"/>
          <w:szCs w:val="24"/>
        </w:rPr>
        <w:t>and</w:t>
      </w:r>
    </w:p>
    <w:p w14:paraId="7D2B81A6" w14:textId="77777777" w:rsidR="00CE77F9" w:rsidRPr="00CE77F9" w:rsidRDefault="00CE77F9" w:rsidP="00CE77F9">
      <w:pPr>
        <w:shd w:val="clear" w:color="auto" w:fill="F3EED8"/>
        <w:spacing w:before="192" w:after="0" w:line="432" w:lineRule="atLeast"/>
        <w:ind w:left="960"/>
        <w:rPr>
          <w:rFonts w:ascii="Arial" w:eastAsia="Times New Roman" w:hAnsi="Arial" w:cs="Arial"/>
          <w:color w:val="352D27"/>
          <w:sz w:val="24"/>
          <w:szCs w:val="24"/>
        </w:rPr>
      </w:pPr>
      <w:r w:rsidRPr="00CE77F9">
        <w:rPr>
          <w:rFonts w:ascii="Arial" w:eastAsia="Times New Roman" w:hAnsi="Arial" w:cs="Arial"/>
          <w:b/>
          <w:bCs/>
          <w:color w:val="241C16"/>
          <w:sz w:val="25"/>
          <w:szCs w:val="25"/>
        </w:rPr>
        <w:t>(g)</w:t>
      </w:r>
      <w:r w:rsidRPr="00CE77F9">
        <w:rPr>
          <w:rFonts w:ascii="Arial" w:eastAsia="Times New Roman" w:hAnsi="Arial" w:cs="Arial"/>
          <w:color w:val="352D27"/>
          <w:sz w:val="24"/>
          <w:szCs w:val="24"/>
        </w:rPr>
        <w:t>The application for an award of compensation under ORS </w:t>
      </w:r>
      <w:hyperlink r:id="rId7" w:history="1">
        <w:r w:rsidRPr="00CE77F9">
          <w:rPr>
            <w:rFonts w:ascii="Arial" w:eastAsia="Times New Roman" w:hAnsi="Arial" w:cs="Arial"/>
            <w:b/>
            <w:bCs/>
            <w:color w:val="004276"/>
            <w:sz w:val="24"/>
            <w:szCs w:val="24"/>
            <w:u w:val="single"/>
          </w:rPr>
          <w:t>147.005 </w:t>
        </w:r>
        <w:r w:rsidRPr="00CE77F9">
          <w:rPr>
            <w:rFonts w:ascii="Arial" w:eastAsia="Times New Roman" w:hAnsi="Arial" w:cs="Arial"/>
            <w:b/>
            <w:bCs/>
            <w:color w:val="004276"/>
            <w:sz w:val="24"/>
            <w:szCs w:val="24"/>
          </w:rPr>
          <w:t>(Definitions)</w:t>
        </w:r>
      </w:hyperlink>
      <w:r w:rsidRPr="00CE77F9">
        <w:rPr>
          <w:rFonts w:ascii="Arial" w:eastAsia="Times New Roman" w:hAnsi="Arial" w:cs="Arial"/>
          <w:color w:val="352D27"/>
          <w:sz w:val="24"/>
          <w:szCs w:val="24"/>
        </w:rPr>
        <w:t> to </w:t>
      </w:r>
      <w:hyperlink r:id="rId8" w:history="1">
        <w:r w:rsidRPr="00CE77F9">
          <w:rPr>
            <w:rFonts w:ascii="Arial" w:eastAsia="Times New Roman" w:hAnsi="Arial" w:cs="Arial"/>
            <w:b/>
            <w:bCs/>
            <w:color w:val="004276"/>
            <w:sz w:val="24"/>
            <w:szCs w:val="24"/>
            <w:u w:val="single"/>
          </w:rPr>
          <w:t>147.367 </w:t>
        </w:r>
        <w:r w:rsidRPr="00CE77F9">
          <w:rPr>
            <w:rFonts w:ascii="Arial" w:eastAsia="Times New Roman" w:hAnsi="Arial" w:cs="Arial"/>
            <w:b/>
            <w:bCs/>
            <w:color w:val="004276"/>
            <w:sz w:val="24"/>
            <w:szCs w:val="24"/>
          </w:rPr>
          <w:t>(Services to victims of acts of mass destruction)</w:t>
        </w:r>
      </w:hyperlink>
      <w:r w:rsidRPr="00CE77F9">
        <w:rPr>
          <w:rFonts w:ascii="Arial" w:eastAsia="Times New Roman" w:hAnsi="Arial" w:cs="Arial"/>
          <w:color w:val="352D27"/>
          <w:sz w:val="24"/>
          <w:szCs w:val="24"/>
        </w:rPr>
        <w:t> is filed with the department:</w:t>
      </w:r>
    </w:p>
    <w:p w14:paraId="0919A622" w14:textId="77777777" w:rsidR="00CE77F9" w:rsidRPr="00CE77F9" w:rsidRDefault="00CE77F9" w:rsidP="00CE77F9">
      <w:pPr>
        <w:shd w:val="clear" w:color="auto" w:fill="F3EED8"/>
        <w:spacing w:before="192" w:after="0" w:line="432" w:lineRule="atLeast"/>
        <w:ind w:left="1440"/>
        <w:rPr>
          <w:rFonts w:ascii="Arial" w:eastAsia="Times New Roman" w:hAnsi="Arial" w:cs="Arial"/>
          <w:color w:val="352D27"/>
          <w:sz w:val="24"/>
          <w:szCs w:val="24"/>
        </w:rPr>
      </w:pPr>
      <w:r w:rsidRPr="00CE77F9">
        <w:rPr>
          <w:rFonts w:ascii="Arial" w:eastAsia="Times New Roman" w:hAnsi="Arial" w:cs="Arial"/>
          <w:b/>
          <w:bCs/>
          <w:color w:val="241C16"/>
          <w:sz w:val="24"/>
          <w:szCs w:val="24"/>
        </w:rPr>
        <w:t>(A)</w:t>
      </w:r>
      <w:r w:rsidRPr="00CE77F9">
        <w:rPr>
          <w:rFonts w:ascii="Arial" w:eastAsia="Times New Roman" w:hAnsi="Arial" w:cs="Arial"/>
          <w:color w:val="352D27"/>
          <w:sz w:val="24"/>
          <w:szCs w:val="24"/>
        </w:rPr>
        <w:t>Within one year of the date of the injury to the victim; </w:t>
      </w:r>
      <w:r w:rsidRPr="00CE77F9">
        <w:rPr>
          <w:rFonts w:ascii="Arial" w:eastAsia="Times New Roman" w:hAnsi="Arial" w:cs="Arial"/>
          <w:b/>
          <w:bCs/>
          <w:color w:val="000000"/>
          <w:spacing w:val="12"/>
          <w:sz w:val="24"/>
          <w:szCs w:val="24"/>
        </w:rPr>
        <w:t>or</w:t>
      </w:r>
    </w:p>
    <w:p w14:paraId="38071E53" w14:textId="77777777" w:rsidR="00CE77F9" w:rsidRPr="00CE77F9" w:rsidRDefault="00CE77F9" w:rsidP="00CE77F9">
      <w:pPr>
        <w:shd w:val="clear" w:color="auto" w:fill="F3EED8"/>
        <w:spacing w:before="192" w:after="0" w:line="432" w:lineRule="atLeast"/>
        <w:ind w:left="1440"/>
        <w:rPr>
          <w:rFonts w:ascii="Arial" w:eastAsia="Times New Roman" w:hAnsi="Arial" w:cs="Arial"/>
          <w:color w:val="352D27"/>
          <w:sz w:val="24"/>
          <w:szCs w:val="24"/>
        </w:rPr>
      </w:pPr>
      <w:r w:rsidRPr="00CE77F9">
        <w:rPr>
          <w:rFonts w:ascii="Arial" w:eastAsia="Times New Roman" w:hAnsi="Arial" w:cs="Arial"/>
          <w:b/>
          <w:bCs/>
          <w:color w:val="241C16"/>
          <w:sz w:val="24"/>
          <w:szCs w:val="24"/>
        </w:rPr>
        <w:lastRenderedPageBreak/>
        <w:t>(B)</w:t>
      </w:r>
      <w:r w:rsidRPr="00CE77F9">
        <w:rPr>
          <w:rFonts w:ascii="Arial" w:eastAsia="Times New Roman" w:hAnsi="Arial" w:cs="Arial"/>
          <w:color w:val="352D27"/>
          <w:sz w:val="24"/>
          <w:szCs w:val="24"/>
        </w:rPr>
        <w:t>Within such further extension of time as the department, for good cause shown, allows.</w:t>
      </w:r>
    </w:p>
    <w:p w14:paraId="042323EF" w14:textId="77777777" w:rsidR="00CE77F9" w:rsidRPr="00F9265E" w:rsidRDefault="00CE77F9" w:rsidP="00CE77F9">
      <w:pPr>
        <w:shd w:val="clear" w:color="auto" w:fill="F3EED8"/>
        <w:spacing w:before="225" w:after="0" w:line="432" w:lineRule="atLeast"/>
        <w:ind w:left="480"/>
        <w:rPr>
          <w:rFonts w:ascii="Arial" w:eastAsia="Times New Roman" w:hAnsi="Arial" w:cs="Arial"/>
          <w:color w:val="352D27"/>
          <w:sz w:val="24"/>
          <w:szCs w:val="24"/>
          <w:highlight w:val="yellow"/>
        </w:rPr>
      </w:pPr>
      <w:r w:rsidRPr="00F9265E">
        <w:rPr>
          <w:rFonts w:ascii="Arial" w:eastAsia="Times New Roman" w:hAnsi="Arial" w:cs="Arial"/>
          <w:b/>
          <w:bCs/>
          <w:color w:val="241C16"/>
          <w:sz w:val="26"/>
          <w:szCs w:val="26"/>
          <w:highlight w:val="yellow"/>
        </w:rPr>
        <w:t>(2)</w:t>
      </w:r>
      <w:r w:rsidRPr="00F9265E">
        <w:rPr>
          <w:rFonts w:ascii="Arial" w:eastAsia="Times New Roman" w:hAnsi="Arial" w:cs="Arial"/>
          <w:color w:val="352D27"/>
          <w:sz w:val="24"/>
          <w:szCs w:val="24"/>
          <w:highlight w:val="yellow"/>
        </w:rPr>
        <w:t>(a) The fact that a victim was subjected to sexual exploitation as defined in ORS </w:t>
      </w:r>
      <w:hyperlink r:id="rId9" w:history="1">
        <w:r w:rsidRPr="00F9265E">
          <w:rPr>
            <w:rFonts w:ascii="Arial" w:eastAsia="Times New Roman" w:hAnsi="Arial" w:cs="Arial"/>
            <w:b/>
            <w:bCs/>
            <w:color w:val="004276"/>
            <w:sz w:val="24"/>
            <w:szCs w:val="24"/>
            <w:highlight w:val="yellow"/>
            <w:u w:val="single"/>
          </w:rPr>
          <w:t>419B.005 </w:t>
        </w:r>
        <w:r w:rsidRPr="00F9265E">
          <w:rPr>
            <w:rFonts w:ascii="Arial" w:eastAsia="Times New Roman" w:hAnsi="Arial" w:cs="Arial"/>
            <w:b/>
            <w:bCs/>
            <w:color w:val="004276"/>
            <w:sz w:val="24"/>
            <w:szCs w:val="24"/>
            <w:highlight w:val="yellow"/>
          </w:rPr>
          <w:t>(Definitions)</w:t>
        </w:r>
      </w:hyperlink>
      <w:r w:rsidRPr="00F9265E">
        <w:rPr>
          <w:rFonts w:ascii="Arial" w:eastAsia="Times New Roman" w:hAnsi="Arial" w:cs="Arial"/>
          <w:color w:val="352D27"/>
          <w:sz w:val="24"/>
          <w:szCs w:val="24"/>
          <w:highlight w:val="yellow"/>
        </w:rPr>
        <w:t>, domestic violence as defined in ORS </w:t>
      </w:r>
      <w:hyperlink r:id="rId10" w:history="1">
        <w:r w:rsidRPr="00F9265E">
          <w:rPr>
            <w:rFonts w:ascii="Arial" w:eastAsia="Times New Roman" w:hAnsi="Arial" w:cs="Arial"/>
            <w:b/>
            <w:bCs/>
            <w:color w:val="004276"/>
            <w:sz w:val="24"/>
            <w:szCs w:val="24"/>
            <w:highlight w:val="yellow"/>
            <w:u w:val="single"/>
          </w:rPr>
          <w:t>135.230 </w:t>
        </w:r>
        <w:r w:rsidRPr="00F9265E">
          <w:rPr>
            <w:rFonts w:ascii="Arial" w:eastAsia="Times New Roman" w:hAnsi="Arial" w:cs="Arial"/>
            <w:b/>
            <w:bCs/>
            <w:color w:val="004276"/>
            <w:sz w:val="24"/>
            <w:szCs w:val="24"/>
            <w:highlight w:val="yellow"/>
          </w:rPr>
          <w:t>(Definitions for ORS 135.230 to 135.290)</w:t>
        </w:r>
      </w:hyperlink>
      <w:r w:rsidRPr="00F9265E">
        <w:rPr>
          <w:rFonts w:ascii="Arial" w:eastAsia="Times New Roman" w:hAnsi="Arial" w:cs="Arial"/>
          <w:color w:val="352D27"/>
          <w:sz w:val="24"/>
          <w:szCs w:val="24"/>
          <w:highlight w:val="yellow"/>
        </w:rPr>
        <w:t>, sexual abuse as defined in ORS </w:t>
      </w:r>
      <w:hyperlink r:id="rId11" w:history="1">
        <w:r w:rsidRPr="00F9265E">
          <w:rPr>
            <w:rFonts w:ascii="Arial" w:eastAsia="Times New Roman" w:hAnsi="Arial" w:cs="Arial"/>
            <w:b/>
            <w:bCs/>
            <w:color w:val="004276"/>
            <w:sz w:val="24"/>
            <w:szCs w:val="24"/>
            <w:highlight w:val="yellow"/>
            <w:u w:val="single"/>
          </w:rPr>
          <w:t>163.760 </w:t>
        </w:r>
        <w:r w:rsidRPr="00F9265E">
          <w:rPr>
            <w:rFonts w:ascii="Arial" w:eastAsia="Times New Roman" w:hAnsi="Arial" w:cs="Arial"/>
            <w:b/>
            <w:bCs/>
            <w:color w:val="004276"/>
            <w:sz w:val="24"/>
            <w:szCs w:val="24"/>
            <w:highlight w:val="yellow"/>
          </w:rPr>
          <w:t>(Definitions for ORS 163.760 to 163.777)</w:t>
        </w:r>
      </w:hyperlink>
      <w:r w:rsidRPr="00F9265E">
        <w:rPr>
          <w:rFonts w:ascii="Arial" w:eastAsia="Times New Roman" w:hAnsi="Arial" w:cs="Arial"/>
          <w:color w:val="352D27"/>
          <w:sz w:val="24"/>
          <w:szCs w:val="24"/>
          <w:highlight w:val="yellow"/>
        </w:rPr>
        <w:t> or stalking as defined in ORS </w:t>
      </w:r>
      <w:hyperlink r:id="rId12" w:history="1">
        <w:r w:rsidRPr="00F9265E">
          <w:rPr>
            <w:rFonts w:ascii="Arial" w:eastAsia="Times New Roman" w:hAnsi="Arial" w:cs="Arial"/>
            <w:b/>
            <w:bCs/>
            <w:color w:val="004276"/>
            <w:sz w:val="24"/>
            <w:szCs w:val="24"/>
            <w:highlight w:val="yellow"/>
            <w:u w:val="single"/>
          </w:rPr>
          <w:t>163.732 </w:t>
        </w:r>
        <w:r w:rsidRPr="00F9265E">
          <w:rPr>
            <w:rFonts w:ascii="Arial" w:eastAsia="Times New Roman" w:hAnsi="Arial" w:cs="Arial"/>
            <w:b/>
            <w:bCs/>
            <w:color w:val="004276"/>
            <w:sz w:val="24"/>
            <w:szCs w:val="24"/>
            <w:highlight w:val="yellow"/>
          </w:rPr>
          <w:t>(Stalking)</w:t>
        </w:r>
      </w:hyperlink>
      <w:r w:rsidRPr="00F9265E">
        <w:rPr>
          <w:rFonts w:ascii="Arial" w:eastAsia="Times New Roman" w:hAnsi="Arial" w:cs="Arial"/>
          <w:color w:val="352D27"/>
          <w:sz w:val="24"/>
          <w:szCs w:val="24"/>
          <w:highlight w:val="yellow"/>
        </w:rPr>
        <w:t> is prima facie evidence of good cause for the victim’s failure to notify law enforcement in a timely manner under subsection (1)(c) of this section, or for failure to cooperate with law enforcement under subsection (1)(d) of this section.</w:t>
      </w:r>
    </w:p>
    <w:p w14:paraId="532629C4" w14:textId="77777777" w:rsidR="00CE77F9" w:rsidRPr="00F9265E" w:rsidRDefault="00CE77F9" w:rsidP="00CE77F9">
      <w:pPr>
        <w:shd w:val="clear" w:color="auto" w:fill="F3EED8"/>
        <w:spacing w:before="192" w:after="0" w:line="432" w:lineRule="atLeast"/>
        <w:ind w:left="960"/>
        <w:rPr>
          <w:rFonts w:ascii="Arial" w:eastAsia="Times New Roman" w:hAnsi="Arial" w:cs="Arial"/>
          <w:color w:val="352D27"/>
          <w:sz w:val="24"/>
          <w:szCs w:val="24"/>
          <w:highlight w:val="yellow"/>
        </w:rPr>
      </w:pPr>
      <w:r w:rsidRPr="00F9265E">
        <w:rPr>
          <w:rFonts w:ascii="Arial" w:eastAsia="Times New Roman" w:hAnsi="Arial" w:cs="Arial"/>
          <w:b/>
          <w:bCs/>
          <w:color w:val="241C16"/>
          <w:sz w:val="25"/>
          <w:szCs w:val="25"/>
          <w:highlight w:val="yellow"/>
        </w:rPr>
        <w:t>(b)</w:t>
      </w:r>
      <w:r w:rsidRPr="00F9265E">
        <w:rPr>
          <w:rFonts w:ascii="Arial" w:eastAsia="Times New Roman" w:hAnsi="Arial" w:cs="Arial"/>
          <w:color w:val="352D27"/>
          <w:sz w:val="24"/>
          <w:szCs w:val="24"/>
          <w:highlight w:val="yellow"/>
        </w:rPr>
        <w:t>The requirement under subsection (1)(b) of this section to notify the appropriate law enforcement officials of the perpetration of the crime is satisfied if, as a result of the compensable crime for which the victim or applicant is applying for compensation, the victim or applicant obtained:</w:t>
      </w:r>
    </w:p>
    <w:p w14:paraId="7A1D28E7" w14:textId="77777777" w:rsidR="00CE77F9" w:rsidRPr="00F9265E" w:rsidRDefault="00CE77F9" w:rsidP="00CE77F9">
      <w:pPr>
        <w:shd w:val="clear" w:color="auto" w:fill="F3EED8"/>
        <w:spacing w:before="192" w:after="0" w:line="432" w:lineRule="atLeast"/>
        <w:ind w:left="1440"/>
        <w:rPr>
          <w:rFonts w:ascii="Arial" w:eastAsia="Times New Roman" w:hAnsi="Arial" w:cs="Arial"/>
          <w:color w:val="352D27"/>
          <w:sz w:val="24"/>
          <w:szCs w:val="24"/>
          <w:highlight w:val="yellow"/>
        </w:rPr>
      </w:pPr>
      <w:r w:rsidRPr="00F9265E">
        <w:rPr>
          <w:rFonts w:ascii="Arial" w:eastAsia="Times New Roman" w:hAnsi="Arial" w:cs="Arial"/>
          <w:b/>
          <w:bCs/>
          <w:color w:val="241C16"/>
          <w:sz w:val="24"/>
          <w:szCs w:val="24"/>
          <w:highlight w:val="yellow"/>
        </w:rPr>
        <w:t>(A)</w:t>
      </w:r>
      <w:r w:rsidRPr="00F9265E">
        <w:rPr>
          <w:rFonts w:ascii="Arial" w:eastAsia="Times New Roman" w:hAnsi="Arial" w:cs="Arial"/>
          <w:color w:val="352D27"/>
          <w:sz w:val="24"/>
          <w:szCs w:val="24"/>
          <w:highlight w:val="yellow"/>
        </w:rPr>
        <w:t>A temporary or permanent stalking protective order under ORS </w:t>
      </w:r>
      <w:hyperlink r:id="rId13" w:history="1">
        <w:r w:rsidRPr="00F9265E">
          <w:rPr>
            <w:rFonts w:ascii="Arial" w:eastAsia="Times New Roman" w:hAnsi="Arial" w:cs="Arial"/>
            <w:b/>
            <w:bCs/>
            <w:color w:val="004276"/>
            <w:sz w:val="24"/>
            <w:szCs w:val="24"/>
            <w:highlight w:val="yellow"/>
            <w:u w:val="single"/>
          </w:rPr>
          <w:t>30.866 </w:t>
        </w:r>
        <w:r w:rsidRPr="00F9265E">
          <w:rPr>
            <w:rFonts w:ascii="Arial" w:eastAsia="Times New Roman" w:hAnsi="Arial" w:cs="Arial"/>
            <w:b/>
            <w:bCs/>
            <w:color w:val="004276"/>
            <w:sz w:val="24"/>
            <w:szCs w:val="24"/>
            <w:highlight w:val="yellow"/>
          </w:rPr>
          <w:t>(Action for issuance or violation of stalking protective order)</w:t>
        </w:r>
      </w:hyperlink>
      <w:r w:rsidRPr="00F9265E">
        <w:rPr>
          <w:rFonts w:ascii="Arial" w:eastAsia="Times New Roman" w:hAnsi="Arial" w:cs="Arial"/>
          <w:color w:val="352D27"/>
          <w:sz w:val="24"/>
          <w:szCs w:val="24"/>
          <w:highlight w:val="yellow"/>
        </w:rPr>
        <w:t> or </w:t>
      </w:r>
      <w:hyperlink r:id="rId14" w:history="1">
        <w:r w:rsidRPr="00F9265E">
          <w:rPr>
            <w:rFonts w:ascii="Arial" w:eastAsia="Times New Roman" w:hAnsi="Arial" w:cs="Arial"/>
            <w:b/>
            <w:bCs/>
            <w:color w:val="004276"/>
            <w:sz w:val="24"/>
            <w:szCs w:val="24"/>
            <w:highlight w:val="yellow"/>
            <w:u w:val="single"/>
          </w:rPr>
          <w:t>163.730 </w:t>
        </w:r>
        <w:r w:rsidRPr="00F9265E">
          <w:rPr>
            <w:rFonts w:ascii="Arial" w:eastAsia="Times New Roman" w:hAnsi="Arial" w:cs="Arial"/>
            <w:b/>
            <w:bCs/>
            <w:color w:val="004276"/>
            <w:sz w:val="24"/>
            <w:szCs w:val="24"/>
            <w:highlight w:val="yellow"/>
          </w:rPr>
          <w:t>(Definitions for ORS 30.866 and 163.730 to 163.750)</w:t>
        </w:r>
      </w:hyperlink>
      <w:r w:rsidRPr="00F9265E">
        <w:rPr>
          <w:rFonts w:ascii="Arial" w:eastAsia="Times New Roman" w:hAnsi="Arial" w:cs="Arial"/>
          <w:color w:val="352D27"/>
          <w:sz w:val="24"/>
          <w:szCs w:val="24"/>
          <w:highlight w:val="yellow"/>
        </w:rPr>
        <w:t> to </w:t>
      </w:r>
      <w:hyperlink r:id="rId15" w:history="1">
        <w:r w:rsidRPr="00F9265E">
          <w:rPr>
            <w:rFonts w:ascii="Arial" w:eastAsia="Times New Roman" w:hAnsi="Arial" w:cs="Arial"/>
            <w:b/>
            <w:bCs/>
            <w:color w:val="004276"/>
            <w:sz w:val="24"/>
            <w:szCs w:val="24"/>
            <w:highlight w:val="yellow"/>
            <w:u w:val="single"/>
          </w:rPr>
          <w:t>163.750 </w:t>
        </w:r>
        <w:r w:rsidRPr="00F9265E">
          <w:rPr>
            <w:rFonts w:ascii="Arial" w:eastAsia="Times New Roman" w:hAnsi="Arial" w:cs="Arial"/>
            <w:b/>
            <w:bCs/>
            <w:color w:val="004276"/>
            <w:sz w:val="24"/>
            <w:szCs w:val="24"/>
            <w:highlight w:val="yellow"/>
          </w:rPr>
          <w:t>(Violating a court’s stalking protective order)</w:t>
        </w:r>
      </w:hyperlink>
      <w:r w:rsidRPr="00F9265E">
        <w:rPr>
          <w:rFonts w:ascii="Arial" w:eastAsia="Times New Roman" w:hAnsi="Arial" w:cs="Arial"/>
          <w:color w:val="352D27"/>
          <w:sz w:val="24"/>
          <w:szCs w:val="24"/>
          <w:highlight w:val="yellow"/>
        </w:rPr>
        <w:t>;</w:t>
      </w:r>
    </w:p>
    <w:p w14:paraId="4BB72AEA" w14:textId="77777777" w:rsidR="00CE77F9" w:rsidRPr="00F9265E" w:rsidRDefault="00CE77F9" w:rsidP="00CE77F9">
      <w:pPr>
        <w:shd w:val="clear" w:color="auto" w:fill="F3EED8"/>
        <w:spacing w:before="192" w:after="0" w:line="432" w:lineRule="atLeast"/>
        <w:ind w:left="1440"/>
        <w:rPr>
          <w:rFonts w:ascii="Arial" w:eastAsia="Times New Roman" w:hAnsi="Arial" w:cs="Arial"/>
          <w:color w:val="352D27"/>
          <w:sz w:val="24"/>
          <w:szCs w:val="24"/>
          <w:highlight w:val="yellow"/>
        </w:rPr>
      </w:pPr>
      <w:r w:rsidRPr="00F9265E">
        <w:rPr>
          <w:rFonts w:ascii="Arial" w:eastAsia="Times New Roman" w:hAnsi="Arial" w:cs="Arial"/>
          <w:b/>
          <w:bCs/>
          <w:color w:val="241C16"/>
          <w:sz w:val="24"/>
          <w:szCs w:val="24"/>
          <w:highlight w:val="yellow"/>
        </w:rPr>
        <w:t>(B)</w:t>
      </w:r>
      <w:r w:rsidRPr="00F9265E">
        <w:rPr>
          <w:rFonts w:ascii="Arial" w:eastAsia="Times New Roman" w:hAnsi="Arial" w:cs="Arial"/>
          <w:color w:val="352D27"/>
          <w:sz w:val="24"/>
          <w:szCs w:val="24"/>
          <w:highlight w:val="yellow"/>
        </w:rPr>
        <w:t>A sexual abuse restraining order under ORS </w:t>
      </w:r>
      <w:hyperlink r:id="rId16" w:history="1">
        <w:r w:rsidRPr="00F9265E">
          <w:rPr>
            <w:rFonts w:ascii="Arial" w:eastAsia="Times New Roman" w:hAnsi="Arial" w:cs="Arial"/>
            <w:b/>
            <w:bCs/>
            <w:color w:val="004276"/>
            <w:sz w:val="24"/>
            <w:szCs w:val="24"/>
            <w:highlight w:val="yellow"/>
            <w:u w:val="single"/>
          </w:rPr>
          <w:t>163.760 </w:t>
        </w:r>
        <w:r w:rsidRPr="00F9265E">
          <w:rPr>
            <w:rFonts w:ascii="Arial" w:eastAsia="Times New Roman" w:hAnsi="Arial" w:cs="Arial"/>
            <w:b/>
            <w:bCs/>
            <w:color w:val="004276"/>
            <w:sz w:val="24"/>
            <w:szCs w:val="24"/>
            <w:highlight w:val="yellow"/>
          </w:rPr>
          <w:t>(Definitions for ORS 163.760 to 163.777)</w:t>
        </w:r>
      </w:hyperlink>
      <w:r w:rsidRPr="00F9265E">
        <w:rPr>
          <w:rFonts w:ascii="Arial" w:eastAsia="Times New Roman" w:hAnsi="Arial" w:cs="Arial"/>
          <w:color w:val="352D27"/>
          <w:sz w:val="24"/>
          <w:szCs w:val="24"/>
          <w:highlight w:val="yellow"/>
        </w:rPr>
        <w:t> to </w:t>
      </w:r>
      <w:hyperlink r:id="rId17" w:history="1">
        <w:r w:rsidRPr="00F9265E">
          <w:rPr>
            <w:rFonts w:ascii="Arial" w:eastAsia="Times New Roman" w:hAnsi="Arial" w:cs="Arial"/>
            <w:b/>
            <w:bCs/>
            <w:color w:val="004276"/>
            <w:sz w:val="24"/>
            <w:szCs w:val="24"/>
            <w:highlight w:val="yellow"/>
            <w:u w:val="single"/>
          </w:rPr>
          <w:t>163.777 </w:t>
        </w:r>
        <w:r w:rsidRPr="00F9265E">
          <w:rPr>
            <w:rFonts w:ascii="Arial" w:eastAsia="Times New Roman" w:hAnsi="Arial" w:cs="Arial"/>
            <w:b/>
            <w:bCs/>
            <w:color w:val="004276"/>
            <w:sz w:val="24"/>
            <w:szCs w:val="24"/>
            <w:highlight w:val="yellow"/>
          </w:rPr>
          <w:t>(Fees or undertaking may not be required)</w:t>
        </w:r>
      </w:hyperlink>
      <w:r w:rsidRPr="00F9265E">
        <w:rPr>
          <w:rFonts w:ascii="Arial" w:eastAsia="Times New Roman" w:hAnsi="Arial" w:cs="Arial"/>
          <w:color w:val="352D27"/>
          <w:sz w:val="24"/>
          <w:szCs w:val="24"/>
          <w:highlight w:val="yellow"/>
        </w:rPr>
        <w:t>;</w:t>
      </w:r>
    </w:p>
    <w:p w14:paraId="4CF63CBB" w14:textId="77777777" w:rsidR="00CE77F9" w:rsidRPr="00F9265E" w:rsidRDefault="00CE77F9" w:rsidP="00CE77F9">
      <w:pPr>
        <w:shd w:val="clear" w:color="auto" w:fill="F3EED8"/>
        <w:spacing w:before="192" w:after="0" w:line="432" w:lineRule="atLeast"/>
        <w:ind w:left="1440"/>
        <w:rPr>
          <w:rFonts w:ascii="Arial" w:eastAsia="Times New Roman" w:hAnsi="Arial" w:cs="Arial"/>
          <w:color w:val="352D27"/>
          <w:sz w:val="24"/>
          <w:szCs w:val="24"/>
          <w:highlight w:val="yellow"/>
        </w:rPr>
      </w:pPr>
      <w:r w:rsidRPr="00F9265E">
        <w:rPr>
          <w:rFonts w:ascii="Arial" w:eastAsia="Times New Roman" w:hAnsi="Arial" w:cs="Arial"/>
          <w:b/>
          <w:bCs/>
          <w:color w:val="241C16"/>
          <w:sz w:val="24"/>
          <w:szCs w:val="24"/>
          <w:highlight w:val="yellow"/>
        </w:rPr>
        <w:t>(C)</w:t>
      </w:r>
      <w:r w:rsidRPr="00F9265E">
        <w:rPr>
          <w:rFonts w:ascii="Arial" w:eastAsia="Times New Roman" w:hAnsi="Arial" w:cs="Arial"/>
          <w:color w:val="352D27"/>
          <w:sz w:val="24"/>
          <w:szCs w:val="24"/>
          <w:highlight w:val="yellow"/>
        </w:rPr>
        <w:t>An abuse prevention order under ORS </w:t>
      </w:r>
      <w:hyperlink r:id="rId18" w:history="1">
        <w:r w:rsidRPr="00F9265E">
          <w:rPr>
            <w:rFonts w:ascii="Arial" w:eastAsia="Times New Roman" w:hAnsi="Arial" w:cs="Arial"/>
            <w:b/>
            <w:bCs/>
            <w:color w:val="004276"/>
            <w:sz w:val="24"/>
            <w:szCs w:val="24"/>
            <w:highlight w:val="yellow"/>
            <w:u w:val="single"/>
          </w:rPr>
          <w:t>107.700 </w:t>
        </w:r>
        <w:r w:rsidRPr="00F9265E">
          <w:rPr>
            <w:rFonts w:ascii="Arial" w:eastAsia="Times New Roman" w:hAnsi="Arial" w:cs="Arial"/>
            <w:b/>
            <w:bCs/>
            <w:color w:val="004276"/>
            <w:sz w:val="24"/>
            <w:szCs w:val="24"/>
            <w:highlight w:val="yellow"/>
          </w:rPr>
          <w:t>(Short title)</w:t>
        </w:r>
      </w:hyperlink>
      <w:r w:rsidRPr="00F9265E">
        <w:rPr>
          <w:rFonts w:ascii="Arial" w:eastAsia="Times New Roman" w:hAnsi="Arial" w:cs="Arial"/>
          <w:color w:val="352D27"/>
          <w:sz w:val="24"/>
          <w:szCs w:val="24"/>
          <w:highlight w:val="yellow"/>
        </w:rPr>
        <w:t> to </w:t>
      </w:r>
      <w:hyperlink r:id="rId19" w:history="1">
        <w:r w:rsidRPr="00F9265E">
          <w:rPr>
            <w:rFonts w:ascii="Arial" w:eastAsia="Times New Roman" w:hAnsi="Arial" w:cs="Arial"/>
            <w:b/>
            <w:bCs/>
            <w:color w:val="004276"/>
            <w:sz w:val="24"/>
            <w:szCs w:val="24"/>
            <w:highlight w:val="yellow"/>
            <w:u w:val="single"/>
          </w:rPr>
          <w:t>107.735 </w:t>
        </w:r>
        <w:r w:rsidRPr="00F9265E">
          <w:rPr>
            <w:rFonts w:ascii="Arial" w:eastAsia="Times New Roman" w:hAnsi="Arial" w:cs="Arial"/>
            <w:b/>
            <w:bCs/>
            <w:color w:val="004276"/>
            <w:sz w:val="24"/>
            <w:szCs w:val="24"/>
            <w:highlight w:val="yellow"/>
          </w:rPr>
          <w:t>(Duties of State Court Administrator)</w:t>
        </w:r>
      </w:hyperlink>
      <w:r w:rsidRPr="00F9265E">
        <w:rPr>
          <w:rFonts w:ascii="Arial" w:eastAsia="Times New Roman" w:hAnsi="Arial" w:cs="Arial"/>
          <w:color w:val="352D27"/>
          <w:sz w:val="24"/>
          <w:szCs w:val="24"/>
          <w:highlight w:val="yellow"/>
        </w:rPr>
        <w:t> or </w:t>
      </w:r>
      <w:hyperlink r:id="rId20" w:history="1">
        <w:r w:rsidRPr="00F9265E">
          <w:rPr>
            <w:rFonts w:ascii="Arial" w:eastAsia="Times New Roman" w:hAnsi="Arial" w:cs="Arial"/>
            <w:b/>
            <w:bCs/>
            <w:color w:val="004276"/>
            <w:sz w:val="24"/>
            <w:szCs w:val="24"/>
            <w:highlight w:val="yellow"/>
            <w:u w:val="single"/>
          </w:rPr>
          <w:t>124.005 </w:t>
        </w:r>
        <w:r w:rsidRPr="00F9265E">
          <w:rPr>
            <w:rFonts w:ascii="Arial" w:eastAsia="Times New Roman" w:hAnsi="Arial" w:cs="Arial"/>
            <w:b/>
            <w:bCs/>
            <w:color w:val="004276"/>
            <w:sz w:val="24"/>
            <w:szCs w:val="24"/>
            <w:highlight w:val="yellow"/>
          </w:rPr>
          <w:t>(Definitions for ORS 124.005 to 124.040)</w:t>
        </w:r>
      </w:hyperlink>
      <w:r w:rsidRPr="00F9265E">
        <w:rPr>
          <w:rFonts w:ascii="Arial" w:eastAsia="Times New Roman" w:hAnsi="Arial" w:cs="Arial"/>
          <w:color w:val="352D27"/>
          <w:sz w:val="24"/>
          <w:szCs w:val="24"/>
          <w:highlight w:val="yellow"/>
        </w:rPr>
        <w:t> to </w:t>
      </w:r>
      <w:hyperlink r:id="rId21" w:history="1">
        <w:r w:rsidRPr="00F9265E">
          <w:rPr>
            <w:rFonts w:ascii="Arial" w:eastAsia="Times New Roman" w:hAnsi="Arial" w:cs="Arial"/>
            <w:b/>
            <w:bCs/>
            <w:color w:val="004276"/>
            <w:sz w:val="24"/>
            <w:szCs w:val="24"/>
            <w:highlight w:val="yellow"/>
            <w:u w:val="single"/>
          </w:rPr>
          <w:t>124.040 </w:t>
        </w:r>
        <w:r w:rsidRPr="00F9265E">
          <w:rPr>
            <w:rFonts w:ascii="Arial" w:eastAsia="Times New Roman" w:hAnsi="Arial" w:cs="Arial"/>
            <w:b/>
            <w:bCs/>
            <w:color w:val="004276"/>
            <w:sz w:val="24"/>
            <w:szCs w:val="24"/>
            <w:highlight w:val="yellow"/>
          </w:rPr>
          <w:t>(Short title)</w:t>
        </w:r>
      </w:hyperlink>
      <w:r w:rsidRPr="00F9265E">
        <w:rPr>
          <w:rFonts w:ascii="Arial" w:eastAsia="Times New Roman" w:hAnsi="Arial" w:cs="Arial"/>
          <w:color w:val="352D27"/>
          <w:sz w:val="24"/>
          <w:szCs w:val="24"/>
          <w:highlight w:val="yellow"/>
        </w:rPr>
        <w:t>; </w:t>
      </w:r>
      <w:r w:rsidRPr="00F9265E">
        <w:rPr>
          <w:rFonts w:ascii="Arial" w:eastAsia="Times New Roman" w:hAnsi="Arial" w:cs="Arial"/>
          <w:b/>
          <w:bCs/>
          <w:color w:val="000000"/>
          <w:spacing w:val="12"/>
          <w:sz w:val="24"/>
          <w:szCs w:val="24"/>
          <w:highlight w:val="yellow"/>
        </w:rPr>
        <w:t>or</w:t>
      </w:r>
    </w:p>
    <w:p w14:paraId="1D84B717" w14:textId="77777777" w:rsidR="00CE77F9" w:rsidRPr="00F9265E" w:rsidRDefault="00CE77F9" w:rsidP="00CE77F9">
      <w:pPr>
        <w:shd w:val="clear" w:color="auto" w:fill="F3EED8"/>
        <w:spacing w:before="192" w:after="0" w:line="432" w:lineRule="atLeast"/>
        <w:ind w:left="1440"/>
        <w:rPr>
          <w:rFonts w:ascii="Arial" w:eastAsia="Times New Roman" w:hAnsi="Arial" w:cs="Arial"/>
          <w:color w:val="352D27"/>
          <w:sz w:val="24"/>
          <w:szCs w:val="24"/>
          <w:highlight w:val="yellow"/>
        </w:rPr>
      </w:pPr>
      <w:r w:rsidRPr="00F9265E">
        <w:rPr>
          <w:rFonts w:ascii="Arial" w:eastAsia="Times New Roman" w:hAnsi="Arial" w:cs="Arial"/>
          <w:b/>
          <w:bCs/>
          <w:color w:val="241C16"/>
          <w:sz w:val="24"/>
          <w:szCs w:val="24"/>
          <w:highlight w:val="yellow"/>
        </w:rPr>
        <w:t>(D)</w:t>
      </w:r>
      <w:r w:rsidRPr="00F9265E">
        <w:rPr>
          <w:rFonts w:ascii="Arial" w:eastAsia="Times New Roman" w:hAnsi="Arial" w:cs="Arial"/>
          <w:color w:val="352D27"/>
          <w:sz w:val="24"/>
          <w:szCs w:val="24"/>
          <w:highlight w:val="yellow"/>
        </w:rPr>
        <w:t>A medical assessment, as defined in ORS </w:t>
      </w:r>
      <w:hyperlink r:id="rId22" w:history="1">
        <w:r w:rsidRPr="00F9265E">
          <w:rPr>
            <w:rFonts w:ascii="Arial" w:eastAsia="Times New Roman" w:hAnsi="Arial" w:cs="Arial"/>
            <w:b/>
            <w:bCs/>
            <w:color w:val="004276"/>
            <w:sz w:val="24"/>
            <w:szCs w:val="24"/>
            <w:highlight w:val="yellow"/>
            <w:u w:val="single"/>
          </w:rPr>
          <w:t>147.395 </w:t>
        </w:r>
        <w:r w:rsidRPr="00F9265E">
          <w:rPr>
            <w:rFonts w:ascii="Arial" w:eastAsia="Times New Roman" w:hAnsi="Arial" w:cs="Arial"/>
            <w:b/>
            <w:bCs/>
            <w:color w:val="004276"/>
            <w:sz w:val="24"/>
            <w:szCs w:val="24"/>
            <w:highlight w:val="yellow"/>
          </w:rPr>
          <w:t>(Definitions)</w:t>
        </w:r>
      </w:hyperlink>
      <w:r w:rsidRPr="00F9265E">
        <w:rPr>
          <w:rFonts w:ascii="Arial" w:eastAsia="Times New Roman" w:hAnsi="Arial" w:cs="Arial"/>
          <w:color w:val="352D27"/>
          <w:sz w:val="24"/>
          <w:szCs w:val="24"/>
          <w:highlight w:val="yellow"/>
        </w:rPr>
        <w:t>, for sexual assault.</w:t>
      </w:r>
    </w:p>
    <w:p w14:paraId="0770A914" w14:textId="77777777" w:rsidR="00CE77F9" w:rsidRPr="00F9265E" w:rsidRDefault="00CE77F9" w:rsidP="00CE77F9">
      <w:pPr>
        <w:shd w:val="clear" w:color="auto" w:fill="F3EED8"/>
        <w:spacing w:before="225" w:after="0" w:line="432" w:lineRule="atLeast"/>
        <w:ind w:left="480"/>
        <w:rPr>
          <w:rFonts w:ascii="Arial" w:eastAsia="Times New Roman" w:hAnsi="Arial" w:cs="Arial"/>
          <w:color w:val="352D27"/>
          <w:sz w:val="24"/>
          <w:szCs w:val="24"/>
          <w:highlight w:val="yellow"/>
        </w:rPr>
      </w:pPr>
      <w:r w:rsidRPr="00F9265E">
        <w:rPr>
          <w:rFonts w:ascii="Arial" w:eastAsia="Times New Roman" w:hAnsi="Arial" w:cs="Arial"/>
          <w:b/>
          <w:bCs/>
          <w:color w:val="241C16"/>
          <w:sz w:val="26"/>
          <w:szCs w:val="26"/>
          <w:highlight w:val="yellow"/>
        </w:rPr>
        <w:lastRenderedPageBreak/>
        <w:t>(3)</w:t>
      </w:r>
      <w:r w:rsidRPr="00F9265E">
        <w:rPr>
          <w:rFonts w:ascii="Arial" w:eastAsia="Times New Roman" w:hAnsi="Arial" w:cs="Arial"/>
          <w:color w:val="352D27"/>
          <w:sz w:val="24"/>
          <w:szCs w:val="24"/>
          <w:highlight w:val="yellow"/>
        </w:rPr>
        <w:t>The department shall adopt rules establishing:</w:t>
      </w:r>
    </w:p>
    <w:p w14:paraId="08130ED4" w14:textId="77777777" w:rsidR="00CE77F9" w:rsidRPr="00F9265E" w:rsidRDefault="00CE77F9" w:rsidP="00CE77F9">
      <w:pPr>
        <w:shd w:val="clear" w:color="auto" w:fill="F3EED8"/>
        <w:spacing w:before="192" w:after="0" w:line="432" w:lineRule="atLeast"/>
        <w:ind w:left="960"/>
        <w:rPr>
          <w:rFonts w:ascii="Arial" w:eastAsia="Times New Roman" w:hAnsi="Arial" w:cs="Arial"/>
          <w:color w:val="352D27"/>
          <w:sz w:val="24"/>
          <w:szCs w:val="24"/>
          <w:highlight w:val="yellow"/>
        </w:rPr>
      </w:pPr>
      <w:r w:rsidRPr="00F9265E">
        <w:rPr>
          <w:rFonts w:ascii="Arial" w:eastAsia="Times New Roman" w:hAnsi="Arial" w:cs="Arial"/>
          <w:b/>
          <w:bCs/>
          <w:color w:val="241C16"/>
          <w:sz w:val="25"/>
          <w:szCs w:val="25"/>
          <w:highlight w:val="yellow"/>
        </w:rPr>
        <w:t>(a)</w:t>
      </w:r>
      <w:r w:rsidRPr="00F9265E">
        <w:rPr>
          <w:rFonts w:ascii="Arial" w:eastAsia="Times New Roman" w:hAnsi="Arial" w:cs="Arial"/>
          <w:color w:val="352D27"/>
          <w:sz w:val="24"/>
          <w:szCs w:val="24"/>
          <w:highlight w:val="yellow"/>
        </w:rPr>
        <w:t>A limited domestic violence counseling award for victims of domestic violence who apply for an award of compensation but who do not otherwise qualify under the eligibility requirements of this section.</w:t>
      </w:r>
    </w:p>
    <w:p w14:paraId="5E2C9515" w14:textId="77777777" w:rsidR="00CE77F9" w:rsidRPr="00CE77F9" w:rsidRDefault="00CE77F9" w:rsidP="00CE77F9">
      <w:pPr>
        <w:shd w:val="clear" w:color="auto" w:fill="F3EED8"/>
        <w:spacing w:before="192" w:after="0" w:line="432" w:lineRule="atLeast"/>
        <w:ind w:left="960"/>
        <w:rPr>
          <w:rFonts w:ascii="Arial" w:eastAsia="Times New Roman" w:hAnsi="Arial" w:cs="Arial"/>
          <w:color w:val="352D27"/>
          <w:sz w:val="24"/>
          <w:szCs w:val="24"/>
        </w:rPr>
      </w:pPr>
      <w:r w:rsidRPr="00F9265E">
        <w:rPr>
          <w:rFonts w:ascii="Arial" w:eastAsia="Times New Roman" w:hAnsi="Arial" w:cs="Arial"/>
          <w:b/>
          <w:bCs/>
          <w:color w:val="241C16"/>
          <w:sz w:val="25"/>
          <w:szCs w:val="25"/>
          <w:highlight w:val="yellow"/>
        </w:rPr>
        <w:t>(b)</w:t>
      </w:r>
      <w:r w:rsidRPr="00F9265E">
        <w:rPr>
          <w:rFonts w:ascii="Arial" w:eastAsia="Times New Roman" w:hAnsi="Arial" w:cs="Arial"/>
          <w:color w:val="352D27"/>
          <w:sz w:val="24"/>
          <w:szCs w:val="24"/>
          <w:highlight w:val="yellow"/>
        </w:rPr>
        <w:t>A limited sexual assault counseling award for victims of sexual assault who apply for an award of compensation but who do not otherwise qualify under the eligibility requirements of this section. [1977 c.376 §3; 1987 c.770 §2; 1989 c.542 §2; 1991 c.862 §2; 1997 c.288 §1; 2011 c.125 §3; 2013 c.720 §9; 2017 c.108 §1]</w:t>
      </w:r>
    </w:p>
    <w:p w14:paraId="6F603E10" w14:textId="77777777" w:rsidR="00CE77F9" w:rsidRDefault="00CE77F9"/>
    <w:p w14:paraId="5A39DA2E" w14:textId="77777777" w:rsidR="00CE77F9" w:rsidRDefault="00CE77F9">
      <w:r>
        <w:t>OAR 137-076-0010</w:t>
      </w:r>
    </w:p>
    <w:p w14:paraId="787405FA" w14:textId="77777777" w:rsidR="00CE77F9" w:rsidRDefault="00CE77F9">
      <w:r>
        <w:rPr>
          <w:rFonts w:ascii="Arial" w:hAnsi="Arial" w:cs="Arial"/>
          <w:color w:val="333333"/>
          <w:sz w:val="20"/>
          <w:szCs w:val="20"/>
          <w:shd w:val="clear" w:color="auto" w:fill="F5F5F5"/>
        </w:rPr>
        <w:t>As used in ORS 147.005 through 147.367 and OAR Chapter 137 Division 76, unless the context requires otherwise:</w:t>
      </w:r>
    </w:p>
    <w:p w14:paraId="16163DE9" w14:textId="77777777" w:rsidR="00CE77F9" w:rsidRDefault="00CE77F9" w:rsidP="00CE77F9">
      <w:pPr>
        <w:pStyle w:val="NormalWeb"/>
        <w:shd w:val="clear" w:color="auto" w:fill="F5F5F5"/>
        <w:rPr>
          <w:rFonts w:ascii="Arial" w:hAnsi="Arial" w:cs="Arial"/>
          <w:color w:val="333333"/>
          <w:sz w:val="20"/>
          <w:szCs w:val="20"/>
        </w:rPr>
      </w:pPr>
      <w:r w:rsidRPr="00F9265E">
        <w:rPr>
          <w:rFonts w:ascii="Arial" w:hAnsi="Arial" w:cs="Arial"/>
          <w:color w:val="333333"/>
          <w:sz w:val="20"/>
          <w:szCs w:val="20"/>
          <w:highlight w:val="yellow"/>
        </w:rPr>
        <w:t>(12) “Good cause” for failure to report or cooperate with law enforcement as used in ORS 147.015(1)(b) and 147.015(1)(c) exists if:</w:t>
      </w:r>
    </w:p>
    <w:p w14:paraId="6E51D14F" w14:textId="77777777" w:rsidR="00CE77F9" w:rsidRDefault="00CE77F9" w:rsidP="00CE77F9">
      <w:pPr>
        <w:pStyle w:val="NormalWeb"/>
        <w:shd w:val="clear" w:color="auto" w:fill="F5F5F5"/>
        <w:rPr>
          <w:rFonts w:ascii="Arial" w:hAnsi="Arial" w:cs="Arial"/>
          <w:color w:val="333333"/>
          <w:sz w:val="20"/>
          <w:szCs w:val="20"/>
        </w:rPr>
      </w:pPr>
      <w:r>
        <w:rPr>
          <w:rFonts w:ascii="Arial" w:hAnsi="Arial" w:cs="Arial"/>
          <w:color w:val="333333"/>
          <w:sz w:val="20"/>
          <w:szCs w:val="20"/>
        </w:rPr>
        <w:t>(</w:t>
      </w:r>
      <w:r w:rsidRPr="00F9265E">
        <w:rPr>
          <w:rFonts w:ascii="Arial" w:hAnsi="Arial" w:cs="Arial"/>
          <w:color w:val="333333"/>
          <w:sz w:val="20"/>
          <w:szCs w:val="20"/>
          <w:highlight w:val="yellow"/>
        </w:rPr>
        <w:t>a) The victim fails to report or cooperate based on a reasonable fear that doing so would result in retaliation to the victim or another person;</w:t>
      </w:r>
    </w:p>
    <w:p w14:paraId="53D7B058" w14:textId="77777777" w:rsidR="00CE77F9" w:rsidRDefault="00CE77F9" w:rsidP="00CE77F9">
      <w:pPr>
        <w:pStyle w:val="NormalWeb"/>
        <w:shd w:val="clear" w:color="auto" w:fill="F5F5F5"/>
        <w:rPr>
          <w:rFonts w:ascii="Arial" w:hAnsi="Arial" w:cs="Arial"/>
          <w:color w:val="333333"/>
          <w:sz w:val="20"/>
          <w:szCs w:val="20"/>
        </w:rPr>
      </w:pPr>
      <w:r w:rsidRPr="00F9265E">
        <w:rPr>
          <w:rFonts w:ascii="Arial" w:hAnsi="Arial" w:cs="Arial"/>
          <w:color w:val="333333"/>
          <w:sz w:val="20"/>
          <w:szCs w:val="20"/>
          <w:highlight w:val="yellow"/>
        </w:rPr>
        <w:t>(b) The crime committed against the victim is sexual assault, domestic violence or stalking;</w:t>
      </w:r>
    </w:p>
    <w:p w14:paraId="1495087F" w14:textId="77777777" w:rsidR="00CE77F9" w:rsidRDefault="00CE77F9" w:rsidP="00CE77F9">
      <w:pPr>
        <w:pStyle w:val="NormalWeb"/>
        <w:shd w:val="clear" w:color="auto" w:fill="F5F5F5"/>
        <w:rPr>
          <w:rFonts w:ascii="Arial" w:hAnsi="Arial" w:cs="Arial"/>
          <w:color w:val="333333"/>
          <w:sz w:val="20"/>
          <w:szCs w:val="20"/>
        </w:rPr>
      </w:pPr>
      <w:r w:rsidRPr="00F9265E">
        <w:rPr>
          <w:rFonts w:ascii="Arial" w:hAnsi="Arial" w:cs="Arial"/>
          <w:color w:val="333333"/>
          <w:sz w:val="20"/>
          <w:szCs w:val="20"/>
          <w:highlight w:val="yellow"/>
        </w:rPr>
        <w:t>(c) The crime is physical or sexual abuse and the victim is a child under 18 years of age;</w:t>
      </w:r>
    </w:p>
    <w:p w14:paraId="3473B286" w14:textId="77777777" w:rsidR="00CE77F9" w:rsidRDefault="00CE77F9" w:rsidP="00CE77F9">
      <w:pPr>
        <w:pStyle w:val="NormalWeb"/>
        <w:shd w:val="clear" w:color="auto" w:fill="F5F5F5"/>
        <w:rPr>
          <w:rFonts w:ascii="Arial" w:hAnsi="Arial" w:cs="Arial"/>
          <w:color w:val="333333"/>
          <w:sz w:val="20"/>
          <w:szCs w:val="20"/>
        </w:rPr>
      </w:pPr>
      <w:r>
        <w:rPr>
          <w:rFonts w:ascii="Arial" w:hAnsi="Arial" w:cs="Arial"/>
          <w:color w:val="333333"/>
          <w:sz w:val="20"/>
          <w:szCs w:val="20"/>
        </w:rPr>
        <w:t>(</w:t>
      </w:r>
      <w:r w:rsidRPr="00F9265E">
        <w:rPr>
          <w:rFonts w:ascii="Arial" w:hAnsi="Arial" w:cs="Arial"/>
          <w:color w:val="333333"/>
          <w:sz w:val="20"/>
          <w:szCs w:val="20"/>
          <w:highlight w:val="yellow"/>
        </w:rPr>
        <w:t>d) The victim fails to report or cooperate due to the traumatic nature of the crime;</w:t>
      </w:r>
    </w:p>
    <w:p w14:paraId="559495F8" w14:textId="77777777" w:rsidR="00CE77F9" w:rsidRDefault="00CE77F9" w:rsidP="00CE77F9">
      <w:pPr>
        <w:pStyle w:val="NormalWeb"/>
        <w:shd w:val="clear" w:color="auto" w:fill="F5F5F5"/>
        <w:rPr>
          <w:rFonts w:ascii="Arial" w:hAnsi="Arial" w:cs="Arial"/>
          <w:color w:val="333333"/>
          <w:sz w:val="20"/>
          <w:szCs w:val="20"/>
        </w:rPr>
      </w:pPr>
      <w:r w:rsidRPr="00F9265E">
        <w:rPr>
          <w:rFonts w:ascii="Arial" w:hAnsi="Arial" w:cs="Arial"/>
          <w:color w:val="333333"/>
          <w:sz w:val="20"/>
          <w:szCs w:val="20"/>
          <w:highlight w:val="yellow"/>
        </w:rPr>
        <w:t>(e) The victim is physically unable to report or cooperate because of the severity of the trauma resulting from the crime; or</w:t>
      </w:r>
    </w:p>
    <w:p w14:paraId="404A3C63" w14:textId="77777777" w:rsidR="00CE77F9" w:rsidRDefault="00CE77F9" w:rsidP="00CE77F9">
      <w:pPr>
        <w:pStyle w:val="NormalWeb"/>
        <w:shd w:val="clear" w:color="auto" w:fill="F5F5F5"/>
      </w:pPr>
      <w:r w:rsidRPr="00F9265E">
        <w:rPr>
          <w:rFonts w:ascii="Arial" w:hAnsi="Arial" w:cs="Arial"/>
          <w:color w:val="333333"/>
          <w:sz w:val="20"/>
          <w:szCs w:val="20"/>
          <w:highlight w:val="yellow"/>
        </w:rPr>
        <w:t>(f) Any other circumstance for which the Department of Justice determines satisfactory</w:t>
      </w:r>
      <w:r>
        <w:rPr>
          <w:rFonts w:ascii="Arial" w:hAnsi="Arial" w:cs="Arial"/>
          <w:color w:val="333333"/>
          <w:sz w:val="20"/>
          <w:szCs w:val="20"/>
        </w:rPr>
        <w:t>.</w:t>
      </w:r>
    </w:p>
    <w:sectPr w:rsidR="00CE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311DB"/>
    <w:multiLevelType w:val="multilevel"/>
    <w:tmpl w:val="79C4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20AFE"/>
    <w:multiLevelType w:val="multilevel"/>
    <w:tmpl w:val="E364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F9"/>
    <w:rsid w:val="00324657"/>
    <w:rsid w:val="008A5F45"/>
    <w:rsid w:val="00CE2EA7"/>
    <w:rsid w:val="00CE77F9"/>
    <w:rsid w:val="00F9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AAA6"/>
  <w15:chartTrackingRefBased/>
  <w15:docId w15:val="{CD3E0EA5-E0AB-498F-BB2C-54CC39E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77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715442">
      <w:bodyDiv w:val="1"/>
      <w:marLeft w:val="0"/>
      <w:marRight w:val="0"/>
      <w:marTop w:val="0"/>
      <w:marBottom w:val="0"/>
      <w:divBdr>
        <w:top w:val="none" w:sz="0" w:space="0" w:color="auto"/>
        <w:left w:val="none" w:sz="0" w:space="0" w:color="auto"/>
        <w:bottom w:val="none" w:sz="0" w:space="0" w:color="auto"/>
        <w:right w:val="none" w:sz="0" w:space="0" w:color="auto"/>
      </w:divBdr>
    </w:div>
    <w:div w:id="720137435">
      <w:bodyDiv w:val="1"/>
      <w:marLeft w:val="0"/>
      <w:marRight w:val="0"/>
      <w:marTop w:val="0"/>
      <w:marBottom w:val="0"/>
      <w:divBdr>
        <w:top w:val="none" w:sz="0" w:space="0" w:color="auto"/>
        <w:left w:val="none" w:sz="0" w:space="0" w:color="auto"/>
        <w:bottom w:val="none" w:sz="0" w:space="0" w:color="auto"/>
        <w:right w:val="none" w:sz="0" w:space="0" w:color="auto"/>
      </w:divBdr>
      <w:divsChild>
        <w:div w:id="2062509424">
          <w:marLeft w:val="0"/>
          <w:marRight w:val="0"/>
          <w:marTop w:val="48"/>
          <w:marBottom w:val="0"/>
          <w:divBdr>
            <w:top w:val="none" w:sz="0" w:space="0" w:color="auto"/>
            <w:left w:val="none" w:sz="0" w:space="0" w:color="auto"/>
            <w:bottom w:val="none" w:sz="0" w:space="0" w:color="auto"/>
            <w:right w:val="none" w:sz="0" w:space="0" w:color="auto"/>
          </w:divBdr>
        </w:div>
        <w:div w:id="776221737">
          <w:marLeft w:val="0"/>
          <w:marRight w:val="0"/>
          <w:marTop w:val="0"/>
          <w:marBottom w:val="0"/>
          <w:divBdr>
            <w:top w:val="none" w:sz="0" w:space="0" w:color="auto"/>
            <w:left w:val="none" w:sz="0" w:space="0" w:color="auto"/>
            <w:bottom w:val="none" w:sz="0" w:space="0" w:color="auto"/>
            <w:right w:val="none" w:sz="0" w:space="0" w:color="auto"/>
          </w:divBdr>
          <w:divsChild>
            <w:div w:id="397751548">
              <w:marLeft w:val="0"/>
              <w:marRight w:val="0"/>
              <w:marTop w:val="0"/>
              <w:marBottom w:val="0"/>
              <w:divBdr>
                <w:top w:val="none" w:sz="0" w:space="0" w:color="auto"/>
                <w:left w:val="none" w:sz="0" w:space="0" w:color="auto"/>
                <w:bottom w:val="none" w:sz="0" w:space="0" w:color="auto"/>
                <w:right w:val="none" w:sz="0" w:space="0" w:color="auto"/>
              </w:divBdr>
              <w:divsChild>
                <w:div w:id="18989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laws.org/ors/147.367" TargetMode="External"/><Relationship Id="rId13" Type="http://schemas.openxmlformats.org/officeDocument/2006/relationships/hyperlink" Target="https://www.oregonlaws.org/ors/30.866" TargetMode="External"/><Relationship Id="rId18" Type="http://schemas.openxmlformats.org/officeDocument/2006/relationships/hyperlink" Target="https://www.oregonlaws.org/ors/107.700" TargetMode="External"/><Relationship Id="rId3" Type="http://schemas.openxmlformats.org/officeDocument/2006/relationships/settings" Target="settings.xml"/><Relationship Id="rId21" Type="http://schemas.openxmlformats.org/officeDocument/2006/relationships/hyperlink" Target="https://www.oregonlaws.org/ors/124.040" TargetMode="External"/><Relationship Id="rId7" Type="http://schemas.openxmlformats.org/officeDocument/2006/relationships/hyperlink" Target="https://www.oregonlaws.org/ors/147.005" TargetMode="External"/><Relationship Id="rId12" Type="http://schemas.openxmlformats.org/officeDocument/2006/relationships/hyperlink" Target="https://www.oregonlaws.org/ors/163.732" TargetMode="External"/><Relationship Id="rId17" Type="http://schemas.openxmlformats.org/officeDocument/2006/relationships/hyperlink" Target="https://www.oregonlaws.org/ors/163.777" TargetMode="External"/><Relationship Id="rId2" Type="http://schemas.openxmlformats.org/officeDocument/2006/relationships/styles" Target="styles.xml"/><Relationship Id="rId16" Type="http://schemas.openxmlformats.org/officeDocument/2006/relationships/hyperlink" Target="https://www.oregonlaws.org/ors/163.760" TargetMode="External"/><Relationship Id="rId20" Type="http://schemas.openxmlformats.org/officeDocument/2006/relationships/hyperlink" Target="https://www.oregonlaws.org/ors/124.005" TargetMode="External"/><Relationship Id="rId1" Type="http://schemas.openxmlformats.org/officeDocument/2006/relationships/numbering" Target="numbering.xml"/><Relationship Id="rId6" Type="http://schemas.openxmlformats.org/officeDocument/2006/relationships/hyperlink" Target="https://www.oregonlaws.org/ors/147.367" TargetMode="External"/><Relationship Id="rId11" Type="http://schemas.openxmlformats.org/officeDocument/2006/relationships/hyperlink" Target="https://www.oregonlaws.org/ors/163.760" TargetMode="External"/><Relationship Id="rId24" Type="http://schemas.openxmlformats.org/officeDocument/2006/relationships/theme" Target="theme/theme1.xml"/><Relationship Id="rId5" Type="http://schemas.openxmlformats.org/officeDocument/2006/relationships/hyperlink" Target="https://www.oregonlaws.org/ors/147.005" TargetMode="External"/><Relationship Id="rId15" Type="http://schemas.openxmlformats.org/officeDocument/2006/relationships/hyperlink" Target="https://www.oregonlaws.org/ors/163.750" TargetMode="External"/><Relationship Id="rId23" Type="http://schemas.openxmlformats.org/officeDocument/2006/relationships/fontTable" Target="fontTable.xml"/><Relationship Id="rId10" Type="http://schemas.openxmlformats.org/officeDocument/2006/relationships/hyperlink" Target="https://www.oregonlaws.org/ors/135.230" TargetMode="External"/><Relationship Id="rId19" Type="http://schemas.openxmlformats.org/officeDocument/2006/relationships/hyperlink" Target="https://www.oregonlaws.org/ors/107.735" TargetMode="External"/><Relationship Id="rId4" Type="http://schemas.openxmlformats.org/officeDocument/2006/relationships/webSettings" Target="webSettings.xml"/><Relationship Id="rId9" Type="http://schemas.openxmlformats.org/officeDocument/2006/relationships/hyperlink" Target="https://www.oregonlaws.org/ors/419B.005" TargetMode="External"/><Relationship Id="rId14" Type="http://schemas.openxmlformats.org/officeDocument/2006/relationships/hyperlink" Target="https://www.oregonlaws.org/ors/163.730" TargetMode="External"/><Relationship Id="rId22" Type="http://schemas.openxmlformats.org/officeDocument/2006/relationships/hyperlink" Target="https://www.oregonlaws.org/ors/147.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Rebecca</dc:creator>
  <cp:keywords/>
  <dc:description/>
  <cp:lastModifiedBy>dan</cp:lastModifiedBy>
  <cp:revision>2</cp:revision>
  <dcterms:created xsi:type="dcterms:W3CDTF">2021-02-10T12:10:00Z</dcterms:created>
  <dcterms:modified xsi:type="dcterms:W3CDTF">2021-02-10T12:10:00Z</dcterms:modified>
</cp:coreProperties>
</file>