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9194" w14:textId="429889BF" w:rsidR="0029089A" w:rsidRDefault="00FC6947" w:rsidP="0082660E">
      <w:r>
        <w:rPr>
          <w:noProof/>
        </w:rPr>
        <mc:AlternateContent>
          <mc:Choice Requires="wps">
            <w:drawing>
              <wp:anchor distT="0" distB="0" distL="114300" distR="114300" simplePos="0" relativeHeight="251657215" behindDoc="1" locked="0" layoutInCell="1" allowOverlap="1" wp14:anchorId="1B5AD0CB" wp14:editId="5511F01F">
                <wp:simplePos x="0" y="0"/>
                <wp:positionH relativeFrom="margin">
                  <wp:posOffset>419100</wp:posOffset>
                </wp:positionH>
                <wp:positionV relativeFrom="paragraph">
                  <wp:posOffset>38100</wp:posOffset>
                </wp:positionV>
                <wp:extent cx="6324600" cy="1743075"/>
                <wp:effectExtent l="19050" t="19050" r="19050" b="28575"/>
                <wp:wrapNone/>
                <wp:docPr id="11" name="Text Box 11"/>
                <wp:cNvGraphicFramePr/>
                <a:graphic xmlns:a="http://schemas.openxmlformats.org/drawingml/2006/main">
                  <a:graphicData uri="http://schemas.microsoft.com/office/word/2010/wordprocessingShape">
                    <wps:wsp>
                      <wps:cNvSpPr txBox="1"/>
                      <wps:spPr>
                        <a:xfrm>
                          <a:off x="0" y="0"/>
                          <a:ext cx="6324600" cy="1743075"/>
                        </a:xfrm>
                        <a:prstGeom prst="rect">
                          <a:avLst/>
                        </a:prstGeom>
                        <a:solidFill>
                          <a:srgbClr val="FFC000"/>
                        </a:solidFill>
                        <a:ln w="31750">
                          <a:solidFill>
                            <a:srgbClr val="008080"/>
                          </a:solidFill>
                          <a:miter lim="800000"/>
                        </a:ln>
                      </wps:spPr>
                      <wps:txbx>
                        <w:txbxContent>
                          <w:p w14:paraId="4B280671" w14:textId="77777777" w:rsidR="00E94F98" w:rsidRDefault="00E94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5AD0CB" id="_x0000_t202" coordsize="21600,21600" o:spt="202" path="m,l,21600r21600,l21600,xe">
                <v:stroke joinstyle="miter"/>
                <v:path gradientshapeok="t" o:connecttype="rect"/>
              </v:shapetype>
              <v:shape id="Text Box 11" o:spid="_x0000_s1026" type="#_x0000_t202" style="position:absolute;margin-left:33pt;margin-top:3pt;width:498pt;height:137.25pt;z-index:-25165926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" fillcolor="#ffc000" strokecolor="teal" strokeweight="2.5pt">
                <v:textbox>
                  <w:txbxContent>
                    <w:p w14:paraId="4B280671" w14:textId="77777777" w:rsidR="00E94F98" w:rsidRDefault="00E94F98"/>
                  </w:txbxContent>
                </v:textbox>
                <w10:wrap anchorx="margin"/>
              </v:shape>
            </w:pict>
          </mc:Fallback>
        </mc:AlternateContent>
      </w:r>
      <w:r>
        <w:rPr>
          <w:noProof/>
        </w:rPr>
        <w:drawing>
          <wp:anchor distT="0" distB="0" distL="114300" distR="114300" simplePos="0" relativeHeight="251658240" behindDoc="1" locked="0" layoutInCell="1" allowOverlap="1" wp14:anchorId="6C7955E3" wp14:editId="72D4D35A">
            <wp:simplePos x="0" y="0"/>
            <wp:positionH relativeFrom="margin">
              <wp:posOffset>28575</wp:posOffset>
            </wp:positionH>
            <wp:positionV relativeFrom="paragraph">
              <wp:posOffset>152400</wp:posOffset>
            </wp:positionV>
            <wp:extent cx="3384255" cy="15240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425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EEC57" w14:textId="31725080" w:rsidR="0029089A" w:rsidRPr="00E94F98" w:rsidRDefault="0029089A" w:rsidP="00FC6947">
      <w:pPr>
        <w:spacing w:after="0" w:line="240" w:lineRule="auto"/>
        <w:ind w:left="5760"/>
        <w:rPr>
          <w:rFonts w:cstheme="minorHAnsi"/>
          <w:b/>
          <w:bCs/>
          <w:sz w:val="32"/>
          <w:szCs w:val="32"/>
        </w:rPr>
      </w:pPr>
      <w:r w:rsidRPr="00E94F98">
        <w:rPr>
          <w:rFonts w:cstheme="minorHAnsi"/>
          <w:b/>
          <w:bCs/>
          <w:sz w:val="32"/>
          <w:szCs w:val="32"/>
        </w:rPr>
        <w:t>Winter Webinar Series</w:t>
      </w:r>
    </w:p>
    <w:p w14:paraId="09871139" w14:textId="21ADF414" w:rsidR="0029089A" w:rsidRPr="00E94F98" w:rsidRDefault="00E94F98" w:rsidP="00FC6947">
      <w:pPr>
        <w:spacing w:after="0" w:line="240" w:lineRule="auto"/>
        <w:ind w:left="5760"/>
        <w:rPr>
          <w:rFonts w:cstheme="minorHAnsi"/>
          <w:b/>
          <w:bCs/>
          <w:sz w:val="28"/>
          <w:szCs w:val="28"/>
        </w:rPr>
      </w:pPr>
      <w:r>
        <w:rPr>
          <w:rFonts w:cstheme="minorHAnsi"/>
          <w:b/>
          <w:bCs/>
          <w:sz w:val="28"/>
          <w:szCs w:val="28"/>
        </w:rPr>
        <w:t>$</w:t>
      </w:r>
      <w:r w:rsidR="00FC6947">
        <w:rPr>
          <w:rFonts w:cstheme="minorHAnsi"/>
          <w:b/>
          <w:bCs/>
          <w:sz w:val="28"/>
          <w:szCs w:val="28"/>
        </w:rPr>
        <w:t xml:space="preserve"> </w:t>
      </w:r>
      <w:r w:rsidR="0029089A" w:rsidRPr="00E94F98">
        <w:rPr>
          <w:rFonts w:cstheme="minorHAnsi"/>
          <w:b/>
          <w:bCs/>
          <w:sz w:val="28"/>
          <w:szCs w:val="28"/>
        </w:rPr>
        <w:t>Money, Money, Money</w:t>
      </w:r>
      <w:r w:rsidR="00FC6947">
        <w:rPr>
          <w:rFonts w:cstheme="minorHAnsi"/>
          <w:b/>
          <w:bCs/>
          <w:sz w:val="28"/>
          <w:szCs w:val="28"/>
        </w:rPr>
        <w:t xml:space="preserve"> </w:t>
      </w:r>
      <w:r>
        <w:rPr>
          <w:rFonts w:cstheme="minorHAnsi"/>
          <w:b/>
          <w:bCs/>
          <w:sz w:val="28"/>
          <w:szCs w:val="28"/>
        </w:rPr>
        <w:t>$</w:t>
      </w:r>
    </w:p>
    <w:p w14:paraId="4D94007C" w14:textId="77777777" w:rsidR="00E94F98" w:rsidRDefault="00E94F98" w:rsidP="00FC6947">
      <w:pPr>
        <w:spacing w:after="0" w:line="240" w:lineRule="auto"/>
        <w:ind w:left="5760"/>
        <w:rPr>
          <w:rFonts w:cstheme="minorHAnsi"/>
          <w:b/>
          <w:bCs/>
          <w:i/>
          <w:iCs/>
          <w:sz w:val="24"/>
          <w:szCs w:val="24"/>
        </w:rPr>
      </w:pPr>
    </w:p>
    <w:p w14:paraId="33132ED1" w14:textId="187B4F0A" w:rsidR="00E94F98" w:rsidRPr="00E94F98" w:rsidRDefault="0029089A" w:rsidP="00FC6947">
      <w:pPr>
        <w:spacing w:after="0" w:line="240" w:lineRule="auto"/>
        <w:ind w:left="5760"/>
        <w:rPr>
          <w:rFonts w:cstheme="minorHAnsi"/>
          <w:b/>
          <w:bCs/>
          <w:i/>
          <w:iCs/>
          <w:sz w:val="24"/>
          <w:szCs w:val="24"/>
        </w:rPr>
      </w:pPr>
      <w:r w:rsidRPr="00E94F98">
        <w:rPr>
          <w:rFonts w:cstheme="minorHAnsi"/>
          <w:b/>
          <w:bCs/>
          <w:i/>
          <w:iCs/>
          <w:sz w:val="24"/>
          <w:szCs w:val="24"/>
        </w:rPr>
        <w:t xml:space="preserve">Michelle Crum, </w:t>
      </w:r>
      <w:r w:rsidR="00E94F98" w:rsidRPr="00E94F98">
        <w:rPr>
          <w:rFonts w:cstheme="minorHAnsi"/>
          <w:b/>
          <w:bCs/>
          <w:i/>
          <w:iCs/>
          <w:sz w:val="24"/>
          <w:szCs w:val="24"/>
        </w:rPr>
        <w:t>Chief</w:t>
      </w:r>
    </w:p>
    <w:p w14:paraId="5B052AD3" w14:textId="3FE4440B" w:rsidR="0029089A" w:rsidRPr="00E94F98" w:rsidRDefault="0029089A" w:rsidP="00FC6947">
      <w:pPr>
        <w:spacing w:after="0" w:line="240" w:lineRule="auto"/>
        <w:ind w:left="5760"/>
        <w:rPr>
          <w:rFonts w:cstheme="minorHAnsi"/>
          <w:b/>
          <w:bCs/>
          <w:i/>
          <w:iCs/>
          <w:sz w:val="24"/>
          <w:szCs w:val="24"/>
        </w:rPr>
      </w:pPr>
      <w:r w:rsidRPr="00E94F98">
        <w:rPr>
          <w:rFonts w:cstheme="minorHAnsi"/>
          <w:b/>
          <w:bCs/>
          <w:i/>
          <w:iCs/>
          <w:sz w:val="24"/>
          <w:szCs w:val="24"/>
        </w:rPr>
        <w:t>Florida Bureau of Victim Compensation</w:t>
      </w:r>
    </w:p>
    <w:p w14:paraId="1EA46DF8" w14:textId="77777777" w:rsidR="0029089A" w:rsidRDefault="0029089A" w:rsidP="0029089A">
      <w:pPr>
        <w:spacing w:after="0" w:line="240" w:lineRule="auto"/>
      </w:pPr>
    </w:p>
    <w:p w14:paraId="2AD702BF" w14:textId="77777777" w:rsidR="0029089A" w:rsidRDefault="0029089A" w:rsidP="0029089A">
      <w:pPr>
        <w:spacing w:after="0" w:line="240" w:lineRule="auto"/>
      </w:pPr>
    </w:p>
    <w:p w14:paraId="7AE07259" w14:textId="77777777" w:rsidR="0029089A" w:rsidRDefault="0029089A" w:rsidP="0029089A">
      <w:pPr>
        <w:spacing w:after="0" w:line="240" w:lineRule="auto"/>
      </w:pPr>
    </w:p>
    <w:p w14:paraId="20D98B95" w14:textId="77777777" w:rsidR="00E94F98" w:rsidRDefault="00E94F98" w:rsidP="0029089A">
      <w:pPr>
        <w:spacing w:after="0" w:line="240" w:lineRule="auto"/>
      </w:pPr>
    </w:p>
    <w:p w14:paraId="6058EFC9" w14:textId="53F95FB5" w:rsidR="0082660E" w:rsidRPr="00E94F98" w:rsidRDefault="00E94F98" w:rsidP="0029089A">
      <w:pPr>
        <w:spacing w:after="0" w:line="240" w:lineRule="auto"/>
        <w:rPr>
          <w:b/>
          <w:bCs/>
          <w:color w:val="008080"/>
          <w:sz w:val="28"/>
          <w:szCs w:val="28"/>
          <w:u w:val="single"/>
        </w:rPr>
      </w:pPr>
      <w:r w:rsidRPr="00E94F98">
        <w:rPr>
          <w:b/>
          <w:bCs/>
          <w:color w:val="008080"/>
          <w:sz w:val="28"/>
          <w:szCs w:val="28"/>
          <w:u w:val="single"/>
        </w:rPr>
        <w:t>DISPROPORTIONATE FUNDING</w:t>
      </w:r>
    </w:p>
    <w:p w14:paraId="4EF3D081" w14:textId="535F2FEF" w:rsidR="0082660E" w:rsidRDefault="0082660E" w:rsidP="0029089A">
      <w:pPr>
        <w:spacing w:after="0" w:line="240" w:lineRule="auto"/>
      </w:pPr>
      <w:r w:rsidRPr="0082660E">
        <w:t xml:space="preserve">In FFY 2017-18, payments to crime victims and operating expenses started to exceed the amount of funding collected.  The deficit was exacerbated by trending decriminalization and criminal justice reform causing fewer fines, fees, and judgments for restitution. </w:t>
      </w:r>
    </w:p>
    <w:p w14:paraId="45FE525A" w14:textId="77777777" w:rsidR="00E94F98" w:rsidRPr="0082660E" w:rsidRDefault="00E94F98" w:rsidP="0029089A">
      <w:pPr>
        <w:spacing w:after="0" w:line="240" w:lineRule="auto"/>
      </w:pPr>
    </w:p>
    <w:p w14:paraId="7A92C092" w14:textId="48AA131F" w:rsidR="0082660E" w:rsidRDefault="0082660E" w:rsidP="0029089A">
      <w:pPr>
        <w:spacing w:after="0" w:line="240" w:lineRule="auto"/>
      </w:pPr>
      <w:r w:rsidRPr="0082660E">
        <w:t>Escalated by the availability of funds from the Congressional allocation for Assistance in FFY 2015-16, and Florida launching a web portal in 2017, more money than ever was going to support victim advocacy programs at the same time compensation became easier to access.</w:t>
      </w:r>
    </w:p>
    <w:p w14:paraId="3FAC7097" w14:textId="77777777" w:rsidR="00E94F98" w:rsidRPr="0082660E" w:rsidRDefault="00E94F98" w:rsidP="0029089A">
      <w:pPr>
        <w:spacing w:after="0" w:line="240" w:lineRule="auto"/>
      </w:pPr>
    </w:p>
    <w:p w14:paraId="164B84EF" w14:textId="1979D1FC" w:rsidR="0082660E" w:rsidRDefault="0082660E" w:rsidP="0029089A">
      <w:pPr>
        <w:spacing w:after="0" w:line="240" w:lineRule="auto"/>
      </w:pPr>
      <w:r w:rsidRPr="0082660E">
        <w:t>In September 2019, the CCTF reached a critical low point, and payment limitations were reduced retroactively.  Compensation was reduced by 50% for most benefits, and relocation was reduced by 30%.</w:t>
      </w:r>
    </w:p>
    <w:p w14:paraId="7179667E" w14:textId="77777777" w:rsidR="00E94F98" w:rsidRPr="0082660E" w:rsidRDefault="00E94F98" w:rsidP="0029089A">
      <w:pPr>
        <w:spacing w:after="0" w:line="240" w:lineRule="auto"/>
      </w:pPr>
    </w:p>
    <w:p w14:paraId="6A376FD5" w14:textId="595DE795" w:rsidR="0082660E" w:rsidRDefault="0082660E" w:rsidP="0029089A">
      <w:pPr>
        <w:spacing w:after="0" w:line="240" w:lineRule="auto"/>
      </w:pPr>
      <w:r w:rsidRPr="0082660E">
        <w:t xml:space="preserve">Despite an infusion of general revenue, a focused campaign to enforce collections, freezing position vacancies, downsizing staff and cutting benefits, the ability to process payments to victims significantly diminished.  </w:t>
      </w:r>
    </w:p>
    <w:p w14:paraId="028A2A0E" w14:textId="77777777" w:rsidR="00E94F98" w:rsidRPr="0082660E" w:rsidRDefault="00E94F98" w:rsidP="0029089A">
      <w:pPr>
        <w:spacing w:after="0" w:line="240" w:lineRule="auto"/>
      </w:pPr>
    </w:p>
    <w:p w14:paraId="3A91A37E" w14:textId="0C3A1E3C" w:rsidR="0029089A" w:rsidRPr="0029089A" w:rsidRDefault="0029089A" w:rsidP="0029089A">
      <w:pPr>
        <w:spacing w:after="0" w:line="240" w:lineRule="auto"/>
        <w:rPr>
          <w:b/>
          <w:bCs/>
          <w:color w:val="008080"/>
          <w:sz w:val="28"/>
          <w:szCs w:val="28"/>
          <w:u w:val="single"/>
        </w:rPr>
      </w:pPr>
      <w:r w:rsidRPr="00E94F98">
        <w:rPr>
          <w:b/>
          <w:bCs/>
          <w:color w:val="008080"/>
          <w:sz w:val="28"/>
          <w:szCs w:val="28"/>
          <w:u w:val="single"/>
        </w:rPr>
        <w:t>FORENSIC EXAMINATION VOCA ASSISTANCE SOLUTION</w:t>
      </w:r>
    </w:p>
    <w:p w14:paraId="615ABDB6" w14:textId="30F62AAE" w:rsidR="00692128" w:rsidRDefault="00692128" w:rsidP="0029089A">
      <w:pPr>
        <w:spacing w:after="0" w:line="240" w:lineRule="auto"/>
      </w:pPr>
      <w:r>
        <w:rPr>
          <w:noProof/>
        </w:rPr>
        <w:drawing>
          <wp:inline distT="0" distB="0" distL="0" distR="0" wp14:anchorId="0A89B2E6" wp14:editId="715E93E1">
            <wp:extent cx="3095625" cy="2428875"/>
            <wp:effectExtent l="0" t="0" r="9525" b="9525"/>
            <wp:docPr id="1" name="Chart 1">
              <a:extLst xmlns:a="http://schemas.openxmlformats.org/drawingml/2006/main">
                <a:ext uri="{FF2B5EF4-FFF2-40B4-BE49-F238E27FC236}">
                  <a16:creationId xmlns:a16="http://schemas.microsoft.com/office/drawing/2014/main" id="{FCE5EB06-D845-470E-8729-26B302A25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drawing>
          <wp:inline distT="0" distB="0" distL="0" distR="0" wp14:anchorId="3ACB468A" wp14:editId="2A35882D">
            <wp:extent cx="3619500" cy="2609850"/>
            <wp:effectExtent l="0" t="0" r="0" b="0"/>
            <wp:docPr id="3" name="Chart 3">
              <a:extLst xmlns:a="http://schemas.openxmlformats.org/drawingml/2006/main">
                <a:ext uri="{FF2B5EF4-FFF2-40B4-BE49-F238E27FC236}">
                  <a16:creationId xmlns:a16="http://schemas.microsoft.com/office/drawing/2014/main" id="{D122F61E-8260-43C0-8F94-CA99A57ED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797C20" w14:textId="77777777" w:rsidR="00E94F98" w:rsidRDefault="00E94F98" w:rsidP="0029089A">
      <w:pPr>
        <w:spacing w:after="0" w:line="240" w:lineRule="auto"/>
      </w:pPr>
    </w:p>
    <w:p w14:paraId="48903DA1" w14:textId="26A0D8C8" w:rsidR="0029089A" w:rsidRDefault="0029089A" w:rsidP="0029089A">
      <w:pPr>
        <w:spacing w:after="0" w:line="240" w:lineRule="auto"/>
        <w:rPr>
          <w:i/>
          <w:iCs/>
        </w:rPr>
      </w:pPr>
      <w:r w:rsidRPr="0029089A">
        <w:t xml:space="preserve">The Department of Justice (DOJ) published federal guidelines in 2016, that allowed greater flexibility to support forensic evidence collection examinations.  Title 28, Code of Federal Regulations, s. 94.119 (g) says, </w:t>
      </w:r>
      <w:r w:rsidRPr="0029089A">
        <w:rPr>
          <w:i/>
          <w:iCs/>
        </w:rPr>
        <w:t>“Direct services for which VOCA funds may be used include, but are not limited to… Forensic medical evidence collection examinations – Forensic medical evidence collection examinations for victims to the extent that other funding sources such as State appropriations are insufficient.”</w:t>
      </w:r>
    </w:p>
    <w:p w14:paraId="03A94913" w14:textId="10651E45" w:rsidR="00FC6947" w:rsidRDefault="00FC6947" w:rsidP="0029089A">
      <w:pPr>
        <w:spacing w:after="0" w:line="240" w:lineRule="auto"/>
        <w:rPr>
          <w:i/>
          <w:iCs/>
        </w:rPr>
      </w:pPr>
    </w:p>
    <w:p w14:paraId="60992CEB" w14:textId="0AD29E4B" w:rsidR="0029089A" w:rsidRDefault="00FC6947" w:rsidP="0029089A">
      <w:pPr>
        <w:spacing w:after="0" w:line="240" w:lineRule="auto"/>
      </w:pPr>
      <w:r>
        <w:t xml:space="preserve">OVC’s Legal Counsel granted acceptance for Florida to establish an annual cap (threshold).  </w:t>
      </w:r>
      <w:r w:rsidR="0029089A" w:rsidRPr="0029089A">
        <w:t>Once exhausted, an Assistance grant will reimburse the CCTF.</w:t>
      </w:r>
    </w:p>
    <w:p w14:paraId="4D0F5B24" w14:textId="77777777" w:rsidR="00FC6947" w:rsidRPr="0029089A" w:rsidRDefault="00FC6947" w:rsidP="0029089A">
      <w:pPr>
        <w:spacing w:after="0" w:line="240" w:lineRule="auto"/>
      </w:pPr>
    </w:p>
    <w:p w14:paraId="05AEABCE" w14:textId="415D296A" w:rsidR="00692128" w:rsidRPr="00FC6947" w:rsidRDefault="0029089A" w:rsidP="0029089A">
      <w:pPr>
        <w:spacing w:after="0" w:line="240" w:lineRule="auto"/>
        <w:rPr>
          <w:b/>
          <w:bCs/>
          <w:color w:val="008080"/>
          <w:sz w:val="28"/>
          <w:szCs w:val="28"/>
          <w:u w:val="single"/>
        </w:rPr>
      </w:pPr>
      <w:r w:rsidRPr="00FC6947">
        <w:rPr>
          <w:b/>
          <w:bCs/>
          <w:color w:val="008080"/>
          <w:sz w:val="28"/>
          <w:szCs w:val="28"/>
          <w:u w:val="single"/>
        </w:rPr>
        <w:lastRenderedPageBreak/>
        <w:t>RELOCATION VOCA ASSISTANCE SOLUTION</w:t>
      </w:r>
    </w:p>
    <w:p w14:paraId="1901BEE0" w14:textId="77777777" w:rsidR="00692128" w:rsidRDefault="00692128" w:rsidP="0029089A">
      <w:pPr>
        <w:spacing w:after="0" w:line="240" w:lineRule="auto"/>
      </w:pPr>
      <w:r>
        <w:rPr>
          <w:noProof/>
        </w:rPr>
        <w:drawing>
          <wp:inline distT="0" distB="0" distL="0" distR="0" wp14:anchorId="67E2D56B" wp14:editId="04225ACB">
            <wp:extent cx="1905000" cy="2166620"/>
            <wp:effectExtent l="0" t="0" r="0" b="5080"/>
            <wp:docPr id="4" name="Chart 4">
              <a:extLst xmlns:a="http://schemas.openxmlformats.org/drawingml/2006/main">
                <a:ext uri="{FF2B5EF4-FFF2-40B4-BE49-F238E27FC236}">
                  <a16:creationId xmlns:a16="http://schemas.microsoft.com/office/drawing/2014/main" id="{CB625E69-D75A-4286-ADA1-4EB9385FB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3501C6F5" wp14:editId="203A7B19">
            <wp:extent cx="1943100" cy="2162175"/>
            <wp:effectExtent l="0" t="0" r="0" b="9525"/>
            <wp:docPr id="5" name="Chart 5">
              <a:extLst xmlns:a="http://schemas.openxmlformats.org/drawingml/2006/main">
                <a:ext uri="{FF2B5EF4-FFF2-40B4-BE49-F238E27FC236}">
                  <a16:creationId xmlns:a16="http://schemas.microsoft.com/office/drawing/2014/main" id="{A74BDE3B-503F-45F9-B299-F2A4E390B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2660E">
        <w:rPr>
          <w:noProof/>
        </w:rPr>
        <w:drawing>
          <wp:inline distT="0" distB="0" distL="0" distR="0" wp14:anchorId="7E913C9A" wp14:editId="24CEEDF0">
            <wp:extent cx="1914525" cy="2157730"/>
            <wp:effectExtent l="0" t="0" r="9525" b="13970"/>
            <wp:docPr id="6" name="Chart 6">
              <a:extLst xmlns:a="http://schemas.openxmlformats.org/drawingml/2006/main">
                <a:ext uri="{FF2B5EF4-FFF2-40B4-BE49-F238E27FC236}">
                  <a16:creationId xmlns:a16="http://schemas.microsoft.com/office/drawing/2014/main" id="{852ABD5C-0A43-4D18-8A34-093C7E8E4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046453" w14:textId="2E0AAE9C" w:rsidR="0082660E" w:rsidRDefault="0082660E" w:rsidP="0029089A">
      <w:pPr>
        <w:spacing w:after="0" w:line="240" w:lineRule="auto"/>
      </w:pPr>
      <w:r>
        <w:t xml:space="preserve"> </w:t>
      </w:r>
      <w:r>
        <w:tab/>
      </w:r>
      <w:r>
        <w:rPr>
          <w:noProof/>
        </w:rPr>
        <w:drawing>
          <wp:inline distT="0" distB="0" distL="0" distR="0" wp14:anchorId="318ACBC2" wp14:editId="34B79477">
            <wp:extent cx="2247900" cy="2223770"/>
            <wp:effectExtent l="0" t="0" r="0" b="5080"/>
            <wp:docPr id="8" name="Chart 8">
              <a:extLst xmlns:a="http://schemas.openxmlformats.org/drawingml/2006/main">
                <a:ext uri="{FF2B5EF4-FFF2-40B4-BE49-F238E27FC236}">
                  <a16:creationId xmlns:a16="http://schemas.microsoft.com/office/drawing/2014/main" id="{202A7FEB-3441-4778-A693-82BFE0A3F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r>
        <w:rPr>
          <w:noProof/>
        </w:rPr>
        <w:drawing>
          <wp:inline distT="0" distB="0" distL="0" distR="0" wp14:anchorId="01C75B8C" wp14:editId="6128613F">
            <wp:extent cx="2247900" cy="2223770"/>
            <wp:effectExtent l="0" t="0" r="0" b="5080"/>
            <wp:docPr id="9" name="Chart 9">
              <a:extLst xmlns:a="http://schemas.openxmlformats.org/drawingml/2006/main">
                <a:ext uri="{FF2B5EF4-FFF2-40B4-BE49-F238E27FC236}">
                  <a16:creationId xmlns:a16="http://schemas.microsoft.com/office/drawing/2014/main" id="{ACF6DC58-F345-4AD3-A09A-F455057A5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BF12D" w14:textId="77777777" w:rsidR="00FC6947" w:rsidRDefault="00FC6947" w:rsidP="0029089A">
      <w:pPr>
        <w:spacing w:after="0" w:line="240" w:lineRule="auto"/>
      </w:pPr>
    </w:p>
    <w:p w14:paraId="7EED6604" w14:textId="48702D81" w:rsidR="0029089A" w:rsidRDefault="0029089A" w:rsidP="0029089A">
      <w:pPr>
        <w:spacing w:after="0" w:line="240" w:lineRule="auto"/>
        <w:rPr>
          <w:i/>
          <w:iCs/>
        </w:rPr>
      </w:pPr>
      <w:r w:rsidRPr="0029089A">
        <w:t>DOJ Title 28, Code of Federal Regulations, s. 94.119 (l), says “</w:t>
      </w:r>
      <w:r w:rsidRPr="0029089A">
        <w:rPr>
          <w:i/>
          <w:iCs/>
        </w:rPr>
        <w:t>Relocation - Subject to any restrictions on amount, length of time, and eligible crimes, set by the SAA, relocation of victims, including, but not limited to, reasonable moving expenses, security deposits on housing, rental expenses, and utility startup costs.”</w:t>
      </w:r>
    </w:p>
    <w:p w14:paraId="128E85C2" w14:textId="77777777" w:rsidR="00FC6947" w:rsidRPr="0029089A" w:rsidRDefault="00FC6947" w:rsidP="0029089A">
      <w:pPr>
        <w:spacing w:after="0" w:line="240" w:lineRule="auto"/>
      </w:pPr>
    </w:p>
    <w:p w14:paraId="746F990B" w14:textId="00AE196E" w:rsidR="0029089A" w:rsidRDefault="0029089A" w:rsidP="0029089A">
      <w:pPr>
        <w:spacing w:after="0" w:line="240" w:lineRule="auto"/>
      </w:pPr>
      <w:r w:rsidRPr="0029089A">
        <w:t xml:space="preserve">During FFY 2018-19, 78.3% of all relocation awards compensated were for interim shelter and housing.  This proves that housing/safe shelter is the highest demand for victims seeking safety.  Housing is also the single largest cost for relocating. </w:t>
      </w:r>
    </w:p>
    <w:p w14:paraId="32123C0C" w14:textId="77777777" w:rsidR="00FC6947" w:rsidRPr="0029089A" w:rsidRDefault="00FC6947" w:rsidP="0029089A">
      <w:pPr>
        <w:spacing w:after="0" w:line="240" w:lineRule="auto"/>
      </w:pPr>
    </w:p>
    <w:p w14:paraId="784F22EB" w14:textId="0D45E879" w:rsidR="0029089A" w:rsidRPr="0029089A" w:rsidRDefault="0029089A" w:rsidP="0029089A">
      <w:pPr>
        <w:spacing w:after="0" w:line="240" w:lineRule="auto"/>
      </w:pPr>
      <w:r>
        <w:t>Effective March 1</w:t>
      </w:r>
      <w:r w:rsidRPr="0029089A">
        <w:rPr>
          <w:vertAlign w:val="superscript"/>
        </w:rPr>
        <w:t>st</w:t>
      </w:r>
      <w:r>
        <w:t xml:space="preserve">, 2021, </w:t>
      </w:r>
      <w:r w:rsidRPr="0029089A">
        <w:t xml:space="preserve">Florida’s Compensation </w:t>
      </w:r>
      <w:r>
        <w:t xml:space="preserve">and Assistance </w:t>
      </w:r>
      <w:r w:rsidRPr="0029089A">
        <w:t xml:space="preserve">programs </w:t>
      </w:r>
      <w:r>
        <w:t xml:space="preserve">will move </w:t>
      </w:r>
      <w:r w:rsidRPr="0029089A">
        <w:t xml:space="preserve">forward with a plan to bifurcate relocation expenses which will improve services and sustainability.  </w:t>
      </w:r>
      <w:r>
        <w:t>Pending legislative budget approval, Assistance will reimburse domestic violence and rape crisis centers for ancillary costs associated with relocating, through their existing VOCA grants.  Compensation will address interim shelter and housing costs</w:t>
      </w:r>
      <w:r w:rsidR="00FC6947">
        <w:t xml:space="preserve"> only.</w:t>
      </w:r>
      <w:r>
        <w:t xml:space="preserve"> </w:t>
      </w:r>
    </w:p>
    <w:p w14:paraId="7A8E5E60" w14:textId="77777777" w:rsidR="0029089A" w:rsidRDefault="0029089A" w:rsidP="0029089A">
      <w:pPr>
        <w:spacing w:after="0" w:line="240" w:lineRule="auto"/>
      </w:pPr>
    </w:p>
    <w:sectPr w:rsidR="0029089A" w:rsidSect="00E94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28"/>
    <w:rsid w:val="0029089A"/>
    <w:rsid w:val="00692128"/>
    <w:rsid w:val="0082660E"/>
    <w:rsid w:val="00962904"/>
    <w:rsid w:val="00E94F98"/>
    <w:rsid w:val="00FC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5D5E"/>
  <w15:chartTrackingRefBased/>
  <w15:docId w15:val="{CCA6777A-FC56-4390-B695-1C5630E8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5823">
      <w:bodyDiv w:val="1"/>
      <w:marLeft w:val="0"/>
      <w:marRight w:val="0"/>
      <w:marTop w:val="0"/>
      <w:marBottom w:val="0"/>
      <w:divBdr>
        <w:top w:val="none" w:sz="0" w:space="0" w:color="auto"/>
        <w:left w:val="none" w:sz="0" w:space="0" w:color="auto"/>
        <w:bottom w:val="none" w:sz="0" w:space="0" w:color="auto"/>
        <w:right w:val="none" w:sz="0" w:space="0" w:color="auto"/>
      </w:divBdr>
    </w:div>
    <w:div w:id="882521686">
      <w:bodyDiv w:val="1"/>
      <w:marLeft w:val="0"/>
      <w:marRight w:val="0"/>
      <w:marTop w:val="0"/>
      <w:marBottom w:val="0"/>
      <w:divBdr>
        <w:top w:val="none" w:sz="0" w:space="0" w:color="auto"/>
        <w:left w:val="none" w:sz="0" w:space="0" w:color="auto"/>
        <w:bottom w:val="none" w:sz="0" w:space="0" w:color="auto"/>
        <w:right w:val="none" w:sz="0" w:space="0" w:color="auto"/>
      </w:divBdr>
    </w:div>
    <w:div w:id="1290356800">
      <w:bodyDiv w:val="1"/>
      <w:marLeft w:val="0"/>
      <w:marRight w:val="0"/>
      <w:marTop w:val="0"/>
      <w:marBottom w:val="0"/>
      <w:divBdr>
        <w:top w:val="none" w:sz="0" w:space="0" w:color="auto"/>
        <w:left w:val="none" w:sz="0" w:space="0" w:color="auto"/>
        <w:bottom w:val="none" w:sz="0" w:space="0" w:color="auto"/>
        <w:right w:val="none" w:sz="0" w:space="0" w:color="auto"/>
      </w:divBdr>
    </w:div>
    <w:div w:id="1831940268">
      <w:bodyDiv w:val="1"/>
      <w:marLeft w:val="0"/>
      <w:marRight w:val="0"/>
      <w:marTop w:val="0"/>
      <w:marBottom w:val="0"/>
      <w:divBdr>
        <w:top w:val="none" w:sz="0" w:space="0" w:color="auto"/>
        <w:left w:val="none" w:sz="0" w:space="0" w:color="auto"/>
        <w:bottom w:val="none" w:sz="0" w:space="0" w:color="auto"/>
        <w:right w:val="none" w:sz="0" w:space="0" w:color="auto"/>
      </w:divBdr>
    </w:div>
    <w:div w:id="20228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image" Target="media/image1.png"/><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OAGNT52.oag.state.fl.us\USERDATA\Users\FATPA\Michelle%20Crum\OVC%20Proposals\OVC%20Proposal%20Draft%20Three%20Charts.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Claims v. Forensic Examination</a:t>
            </a:r>
            <a:r>
              <a:rPr lang="en-US" baseline="0"/>
              <a:t> Claims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Sheet1!$B$8</c:f>
              <c:strCache>
                <c:ptCount val="1"/>
                <c:pt idx="0">
                  <c:v>Total Number of Claims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Sheet1!$A$9:$A$13</c:f>
              <c:strCache>
                <c:ptCount val="5"/>
                <c:pt idx="0">
                  <c:v>FFY 2015-16</c:v>
                </c:pt>
                <c:pt idx="1">
                  <c:v>FFY 2016-17</c:v>
                </c:pt>
                <c:pt idx="2">
                  <c:v>FFY 2017-18</c:v>
                </c:pt>
                <c:pt idx="3">
                  <c:v>FFY 2018-19</c:v>
                </c:pt>
                <c:pt idx="4">
                  <c:v>FFY 2019-20</c:v>
                </c:pt>
              </c:strCache>
            </c:strRef>
          </c:cat>
          <c:val>
            <c:numRef>
              <c:f>Sheet1!$B$9:$B$13</c:f>
              <c:numCache>
                <c:formatCode>#,##0</c:formatCode>
                <c:ptCount val="5"/>
                <c:pt idx="0">
                  <c:v>19727</c:v>
                </c:pt>
                <c:pt idx="1">
                  <c:v>19639</c:v>
                </c:pt>
                <c:pt idx="2">
                  <c:v>23364</c:v>
                </c:pt>
                <c:pt idx="3">
                  <c:v>23560</c:v>
                </c:pt>
                <c:pt idx="4">
                  <c:v>19441</c:v>
                </c:pt>
              </c:numCache>
            </c:numRef>
          </c:val>
          <c:extLst>
            <c:ext xmlns:c16="http://schemas.microsoft.com/office/drawing/2014/chart" uri="{C3380CC4-5D6E-409C-BE32-E72D297353CC}">
              <c16:uniqueId val="{00000000-15F3-4E90-8938-C1FCC4713C4F}"/>
            </c:ext>
          </c:extLst>
        </c:ser>
        <c:ser>
          <c:idx val="1"/>
          <c:order val="1"/>
          <c:tx>
            <c:strRef>
              <c:f>Sheet1!$C$8</c:f>
              <c:strCache>
                <c:ptCount val="1"/>
                <c:pt idx="0">
                  <c:v>Forensic Examination Claims</c:v>
                </c:pt>
              </c:strCache>
            </c:strRef>
          </c:tx>
          <c:spPr>
            <a:solidFill>
              <a:schemeClr val="accent2"/>
            </a:solidFill>
            <a:ln>
              <a:noFill/>
            </a:ln>
            <a:effectLst/>
            <a:sp3d/>
          </c:spPr>
          <c:invertIfNegative val="0"/>
          <c:dLbls>
            <c:dLbl>
              <c:idx val="0"/>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F3-4E90-8938-C1FCC4713C4F}"/>
                </c:ext>
              </c:extLst>
            </c:dLbl>
            <c:dLbl>
              <c:idx val="1"/>
              <c:layout>
                <c:manualLayout>
                  <c:x val="2.777777777777777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F3-4E90-8938-C1FCC4713C4F}"/>
                </c:ext>
              </c:extLst>
            </c:dLbl>
            <c:dLbl>
              <c:idx val="2"/>
              <c:layout>
                <c:manualLayout>
                  <c:x val="3.62993608849740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F3-4E90-8938-C1FCC4713C4F}"/>
                </c:ext>
              </c:extLst>
            </c:dLbl>
            <c:dLbl>
              <c:idx val="3"/>
              <c:layout>
                <c:manualLayout>
                  <c:x val="3.25328825422245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F3-4E90-8938-C1FCC4713C4F}"/>
                </c:ext>
              </c:extLst>
            </c:dLbl>
            <c:dLbl>
              <c:idx val="4"/>
              <c:layout>
                <c:manualLayout>
                  <c:x val="3.33333333333333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F3-4E90-8938-C1FCC4713C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Sheet1!$A$9:$A$13</c:f>
              <c:strCache>
                <c:ptCount val="5"/>
                <c:pt idx="0">
                  <c:v>FFY 2015-16</c:v>
                </c:pt>
                <c:pt idx="1">
                  <c:v>FFY 2016-17</c:v>
                </c:pt>
                <c:pt idx="2">
                  <c:v>FFY 2017-18</c:v>
                </c:pt>
                <c:pt idx="3">
                  <c:v>FFY 2018-19</c:v>
                </c:pt>
                <c:pt idx="4">
                  <c:v>FFY 2019-20</c:v>
                </c:pt>
              </c:strCache>
            </c:strRef>
          </c:cat>
          <c:val>
            <c:numRef>
              <c:f>Sheet1!$C$9:$C$13</c:f>
              <c:numCache>
                <c:formatCode>#,##0</c:formatCode>
                <c:ptCount val="5"/>
                <c:pt idx="0">
                  <c:v>4922</c:v>
                </c:pt>
                <c:pt idx="1">
                  <c:v>4491</c:v>
                </c:pt>
                <c:pt idx="2">
                  <c:v>6013</c:v>
                </c:pt>
                <c:pt idx="3">
                  <c:v>6358</c:v>
                </c:pt>
                <c:pt idx="4">
                  <c:v>5718</c:v>
                </c:pt>
              </c:numCache>
            </c:numRef>
          </c:val>
          <c:extLst>
            <c:ext xmlns:c16="http://schemas.microsoft.com/office/drawing/2014/chart" uri="{C3380CC4-5D6E-409C-BE32-E72D297353CC}">
              <c16:uniqueId val="{00000006-15F3-4E90-8938-C1FCC4713C4F}"/>
            </c:ext>
          </c:extLst>
        </c:ser>
        <c:dLbls>
          <c:showLegendKey val="0"/>
          <c:showVal val="0"/>
          <c:showCatName val="0"/>
          <c:showSerName val="0"/>
          <c:showPercent val="0"/>
          <c:showBubbleSize val="0"/>
        </c:dLbls>
        <c:gapWidth val="150"/>
        <c:shape val="box"/>
        <c:axId val="1051298096"/>
        <c:axId val="1051298752"/>
        <c:axId val="0"/>
      </c:bar3DChart>
      <c:catAx>
        <c:axId val="1051298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298752"/>
        <c:crosses val="autoZero"/>
        <c:auto val="1"/>
        <c:lblAlgn val="ctr"/>
        <c:lblOffset val="100"/>
        <c:noMultiLvlLbl val="0"/>
      </c:catAx>
      <c:valAx>
        <c:axId val="105129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29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60892388451444"/>
          <c:y val="0.12037037037037036"/>
          <c:w val="0.75216163604549435"/>
          <c:h val="0.73577136191309422"/>
        </c:manualLayout>
      </c:layout>
      <c:barChart>
        <c:barDir val="col"/>
        <c:grouping val="stacked"/>
        <c:varyColors val="0"/>
        <c:ser>
          <c:idx val="0"/>
          <c:order val="0"/>
          <c:tx>
            <c:strRef>
              <c:f>Sheet1!$B$26</c:f>
              <c:strCache>
                <c:ptCount val="1"/>
                <c:pt idx="0">
                  <c:v>Forensic Exam Payments</c:v>
                </c:pt>
              </c:strCache>
            </c:strRef>
          </c:tx>
          <c:spPr>
            <a:solidFill>
              <a:schemeClr val="accent1"/>
            </a:solidFill>
            <a:ln>
              <a:noFill/>
            </a:ln>
            <a:effectLst/>
          </c:spPr>
          <c:invertIfNegative val="0"/>
          <c:dLbls>
            <c:dLbl>
              <c:idx val="0"/>
              <c:layout>
                <c:manualLayout>
                  <c:x val="0"/>
                  <c:y val="-5.484606395003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62-48EF-A958-79241C4B9287}"/>
                </c:ext>
              </c:extLst>
            </c:dLbl>
            <c:dLbl>
              <c:idx val="1"/>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62-48EF-A958-79241C4B9287}"/>
                </c:ext>
              </c:extLst>
            </c:dLbl>
            <c:dLbl>
              <c:idx val="2"/>
              <c:layout>
                <c:manualLayout>
                  <c:x val="0"/>
                  <c:y val="-6.944444444444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62-48EF-A958-79241C4B9287}"/>
                </c:ext>
              </c:extLst>
            </c:dLbl>
            <c:dLbl>
              <c:idx val="3"/>
              <c:layout>
                <c:manualLayout>
                  <c:x val="0"/>
                  <c:y val="-6.9444444444444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62-48EF-A958-79241C4B9287}"/>
                </c:ext>
              </c:extLst>
            </c:dLbl>
            <c:dLbl>
              <c:idx val="4"/>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62-48EF-A958-79241C4B92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Sheet1!$A$27:$A$31</c:f>
              <c:strCache>
                <c:ptCount val="5"/>
                <c:pt idx="0">
                  <c:v>FFY 2015-16</c:v>
                </c:pt>
                <c:pt idx="1">
                  <c:v>FFY 2016-17</c:v>
                </c:pt>
                <c:pt idx="2">
                  <c:v>FFY 2017-18</c:v>
                </c:pt>
                <c:pt idx="3">
                  <c:v>FFY 2018-19</c:v>
                </c:pt>
                <c:pt idx="4">
                  <c:v>FFY 2019-20</c:v>
                </c:pt>
              </c:strCache>
            </c:strRef>
          </c:cat>
          <c:val>
            <c:numRef>
              <c:f>Sheet1!$B$27:$B$31</c:f>
              <c:numCache>
                <c:formatCode>"$"#,##0</c:formatCode>
                <c:ptCount val="5"/>
                <c:pt idx="0">
                  <c:v>2323393</c:v>
                </c:pt>
                <c:pt idx="1">
                  <c:v>2407142</c:v>
                </c:pt>
                <c:pt idx="2">
                  <c:v>2485960</c:v>
                </c:pt>
                <c:pt idx="3">
                  <c:v>2739087</c:v>
                </c:pt>
                <c:pt idx="4">
                  <c:v>2608622</c:v>
                </c:pt>
              </c:numCache>
            </c:numRef>
          </c:val>
          <c:extLst>
            <c:ext xmlns:c16="http://schemas.microsoft.com/office/drawing/2014/chart" uri="{C3380CC4-5D6E-409C-BE32-E72D297353CC}">
              <c16:uniqueId val="{00000005-D162-48EF-A958-79241C4B9287}"/>
            </c:ext>
          </c:extLst>
        </c:ser>
        <c:ser>
          <c:idx val="1"/>
          <c:order val="1"/>
          <c:tx>
            <c:strRef>
              <c:f>Sheet1!$C$26</c:f>
              <c:strCache>
                <c:ptCount val="1"/>
                <c:pt idx="0">
                  <c:v>Total Payments</c:v>
                </c:pt>
              </c:strCache>
            </c:strRef>
          </c:tx>
          <c:spPr>
            <a:solidFill>
              <a:schemeClr val="accent2"/>
            </a:solidFill>
            <a:ln>
              <a:noFill/>
            </a:ln>
            <a:effectLst/>
          </c:spPr>
          <c:invertIfNegative val="0"/>
          <c:dLbls>
            <c:dLbl>
              <c:idx val="0"/>
              <c:layout>
                <c:manualLayout>
                  <c:x val="-7.3104019892250311E-4"/>
                  <c:y val="-0.303527788953388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62-48EF-A958-79241C4B9287}"/>
                </c:ext>
              </c:extLst>
            </c:dLbl>
            <c:dLbl>
              <c:idx val="1"/>
              <c:layout>
                <c:manualLayout>
                  <c:x val="-2.7777777777777779E-3"/>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62-48EF-A958-79241C4B9287}"/>
                </c:ext>
              </c:extLst>
            </c:dLbl>
            <c:dLbl>
              <c:idx val="2"/>
              <c:layout>
                <c:manualLayout>
                  <c:x val="0"/>
                  <c:y val="-0.2685185185185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162-48EF-A958-79241C4B9287}"/>
                </c:ext>
              </c:extLst>
            </c:dLbl>
            <c:dLbl>
              <c:idx val="3"/>
              <c:layout>
                <c:manualLayout>
                  <c:x val="0"/>
                  <c:y val="-0.319444444444444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62-48EF-A958-79241C4B9287}"/>
                </c:ext>
              </c:extLst>
            </c:dLbl>
            <c:dLbl>
              <c:idx val="4"/>
              <c:layout>
                <c:manualLayout>
                  <c:x val="0"/>
                  <c:y val="-0.222222222222222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62-48EF-A958-79241C4B92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Sheet1!$A$27:$A$31</c:f>
              <c:strCache>
                <c:ptCount val="5"/>
                <c:pt idx="0">
                  <c:v>FFY 2015-16</c:v>
                </c:pt>
                <c:pt idx="1">
                  <c:v>FFY 2016-17</c:v>
                </c:pt>
                <c:pt idx="2">
                  <c:v>FFY 2017-18</c:v>
                </c:pt>
                <c:pt idx="3">
                  <c:v>FFY 2018-19</c:v>
                </c:pt>
                <c:pt idx="4">
                  <c:v>FFY 2019-20</c:v>
                </c:pt>
              </c:strCache>
            </c:strRef>
          </c:cat>
          <c:val>
            <c:numRef>
              <c:f>Sheet1!$C$27:$C$31</c:f>
              <c:numCache>
                <c:formatCode>"$"#,##0_);[Red]\("$"#,##0\)</c:formatCode>
                <c:ptCount val="5"/>
                <c:pt idx="0" formatCode="&quot;$&quot;#,##0">
                  <c:v>14636470</c:v>
                </c:pt>
                <c:pt idx="1">
                  <c:v>14530277</c:v>
                </c:pt>
                <c:pt idx="2">
                  <c:v>15683674</c:v>
                </c:pt>
                <c:pt idx="3">
                  <c:v>19329368</c:v>
                </c:pt>
                <c:pt idx="4" formatCode="[$-10409]&quot;$&quot;#,##0;\(&quot;$&quot;#,##0\)">
                  <c:v>12360648</c:v>
                </c:pt>
              </c:numCache>
            </c:numRef>
          </c:val>
          <c:extLst>
            <c:ext xmlns:c16="http://schemas.microsoft.com/office/drawing/2014/chart" uri="{C3380CC4-5D6E-409C-BE32-E72D297353CC}">
              <c16:uniqueId val="{0000000B-D162-48EF-A958-79241C4B9287}"/>
            </c:ext>
          </c:extLst>
        </c:ser>
        <c:dLbls>
          <c:showLegendKey val="0"/>
          <c:showVal val="1"/>
          <c:showCatName val="0"/>
          <c:showSerName val="0"/>
          <c:showPercent val="0"/>
          <c:showBubbleSize val="0"/>
        </c:dLbls>
        <c:gapWidth val="150"/>
        <c:overlap val="100"/>
        <c:axId val="906929168"/>
        <c:axId val="906931464"/>
      </c:barChart>
      <c:catAx>
        <c:axId val="90692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931464"/>
        <c:crosses val="autoZero"/>
        <c:auto val="1"/>
        <c:lblAlgn val="ctr"/>
        <c:lblOffset val="100"/>
        <c:noMultiLvlLbl val="0"/>
      </c:catAx>
      <c:valAx>
        <c:axId val="906931464"/>
        <c:scaling>
          <c:orientation val="minMax"/>
        </c:scaling>
        <c:delete val="0"/>
        <c:axPos val="l"/>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929168"/>
        <c:crosses val="autoZero"/>
        <c:crossBetween val="between"/>
      </c:valAx>
      <c:spPr>
        <a:noFill/>
        <a:ln>
          <a:noFill/>
        </a:ln>
        <a:effectLst/>
      </c:spPr>
    </c:plotArea>
    <c:legend>
      <c:legendPos val="b"/>
      <c:layout>
        <c:manualLayout>
          <c:xMode val="edge"/>
          <c:yMode val="edge"/>
          <c:x val="0.28596609798775152"/>
          <c:y val="7.4652230971128566E-2"/>
          <c:w val="0.5558455818022747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Sheet1!$A$16</c:f>
              <c:strCache>
                <c:ptCount val="1"/>
                <c:pt idx="0">
                  <c:v>FFY 2015-16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B2-4E97-B431-13E9C06BF2D1}"/>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2AB2-4E97-B431-13E9C06BF2D1}"/>
              </c:ext>
            </c:extLst>
          </c:dPt>
          <c:dLbls>
            <c:dLbl>
              <c:idx val="0"/>
              <c:layout>
                <c:manualLayout>
                  <c:x val="-4.2696383214749306E-2"/>
                  <c:y val="-1.422631632357679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7303361985700084"/>
                      <c:h val="8.1663011998441795E-2"/>
                    </c:manualLayout>
                  </c15:layout>
                </c:ext>
                <c:ext xmlns:c16="http://schemas.microsoft.com/office/drawing/2014/chart" uri="{C3380CC4-5D6E-409C-BE32-E72D297353CC}">
                  <c16:uniqueId val="{00000001-2AB2-4E97-B431-13E9C06BF2D1}"/>
                </c:ext>
              </c:extLst>
            </c:dLbl>
            <c:dLbl>
              <c:idx val="1"/>
              <c:layout>
                <c:manualLayout>
                  <c:x val="7.7914294276296078E-2"/>
                  <c:y val="4.1902532453713531E-2"/>
                </c:manualLayout>
              </c:layout>
              <c:showLegendKey val="0"/>
              <c:showVal val="1"/>
              <c:showCatName val="0"/>
              <c:showSerName val="0"/>
              <c:showPercent val="0"/>
              <c:showBubbleSize val="0"/>
              <c:extLst>
                <c:ext xmlns:c15="http://schemas.microsoft.com/office/drawing/2012/chart" uri="{CE6537A1-D6FC-4f65-9D91-7224C49458BB}">
                  <c15:layout>
                    <c:manualLayout>
                      <c:w val="0.33258419119780797"/>
                      <c:h val="0.14699342159719522"/>
                    </c:manualLayout>
                  </c15:layout>
                </c:ext>
                <c:ext xmlns:c16="http://schemas.microsoft.com/office/drawing/2014/chart" uri="{C3380CC4-5D6E-409C-BE32-E72D297353CC}">
                  <c16:uniqueId val="{00000003-2AB2-4E97-B431-13E9C06BF2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Sheet1!$B$15:$C$15</c:f>
              <c:strCache>
                <c:ptCount val="2"/>
                <c:pt idx="0">
                  <c:v>Total Payments</c:v>
                </c:pt>
                <c:pt idx="1">
                  <c:v>Relocation</c:v>
                </c:pt>
              </c:strCache>
            </c:strRef>
          </c:cat>
          <c:val>
            <c:numRef>
              <c:f>Sheet1!$B$16:$C$16</c:f>
              <c:numCache>
                <c:formatCode>"$"#,##0</c:formatCode>
                <c:ptCount val="2"/>
                <c:pt idx="0">
                  <c:v>14636470</c:v>
                </c:pt>
                <c:pt idx="1">
                  <c:v>3759601</c:v>
                </c:pt>
              </c:numCache>
            </c:numRef>
          </c:val>
          <c:extLst>
            <c:ext xmlns:c16="http://schemas.microsoft.com/office/drawing/2014/chart" uri="{C3380CC4-5D6E-409C-BE32-E72D297353CC}">
              <c16:uniqueId val="{00000004-2AB2-4E97-B431-13E9C06BF2D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Sheet1!$A$18</c:f>
              <c:strCache>
                <c:ptCount val="1"/>
                <c:pt idx="0">
                  <c:v>FFY 2016-17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41-416E-B17C-2080FE375BAB}"/>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2941-416E-B17C-2080FE375BAB}"/>
              </c:ext>
            </c:extLst>
          </c:dPt>
          <c:dLbls>
            <c:dLbl>
              <c:idx val="0"/>
              <c:layout>
                <c:manualLayout>
                  <c:x val="-1.6809898640115416E-2"/>
                  <c:y val="-7.989125687878839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5163957716294636"/>
                      <c:h val="0.13515630975919002"/>
                    </c:manualLayout>
                  </c15:layout>
                </c:ext>
                <c:ext xmlns:c16="http://schemas.microsoft.com/office/drawing/2014/chart" uri="{C3380CC4-5D6E-409C-BE32-E72D297353CC}">
                  <c16:uniqueId val="{00000001-2941-416E-B17C-2080FE375BAB}"/>
                </c:ext>
              </c:extLst>
            </c:dLbl>
            <c:dLbl>
              <c:idx val="1"/>
              <c:layout>
                <c:manualLayout>
                  <c:x val="6.1391316911074176E-2"/>
                  <c:y val="6.78280279728059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1327096656198072"/>
                      <c:h val="0.14123103805402201"/>
                    </c:manualLayout>
                  </c15:layout>
                </c:ext>
                <c:ext xmlns:c16="http://schemas.microsoft.com/office/drawing/2014/chart" uri="{C3380CC4-5D6E-409C-BE32-E72D297353CC}">
                  <c16:uniqueId val="{00000003-2941-416E-B17C-2080FE375B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Sheet1!$B$17:$C$17</c:f>
              <c:strCache>
                <c:ptCount val="2"/>
                <c:pt idx="0">
                  <c:v>Total Payments</c:v>
                </c:pt>
                <c:pt idx="1">
                  <c:v>Relocation</c:v>
                </c:pt>
              </c:strCache>
            </c:strRef>
          </c:cat>
          <c:val>
            <c:numRef>
              <c:f>Sheet1!$B$18:$C$18</c:f>
              <c:numCache>
                <c:formatCode>"$"#,##0</c:formatCode>
                <c:ptCount val="2"/>
                <c:pt idx="0" formatCode="&quot;$&quot;#,##0_);[Red]\(&quot;$&quot;#,##0\)">
                  <c:v>14530277</c:v>
                </c:pt>
                <c:pt idx="1">
                  <c:v>3524443</c:v>
                </c:pt>
              </c:numCache>
            </c:numRef>
          </c:val>
          <c:extLst>
            <c:ext xmlns:c16="http://schemas.microsoft.com/office/drawing/2014/chart" uri="{C3380CC4-5D6E-409C-BE32-E72D297353CC}">
              <c16:uniqueId val="{00000004-2941-416E-B17C-2080FE375B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Sheet1!$A$20</c:f>
              <c:strCache>
                <c:ptCount val="1"/>
                <c:pt idx="0">
                  <c:v>FFY 2017-18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E0-4688-ADF7-1CA97045C09C}"/>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56E0-4688-ADF7-1CA97045C09C}"/>
              </c:ext>
            </c:extLst>
          </c:dPt>
          <c:dLbls>
            <c:dLbl>
              <c:idx val="0"/>
              <c:layout>
                <c:manualLayout>
                  <c:x val="-9.9259652690369959E-3"/>
                  <c:y val="-6.16000084133701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4684895731317167"/>
                      <c:h val="0.16414518962057345"/>
                    </c:manualLayout>
                  </c15:layout>
                </c:ext>
                <c:ext xmlns:c16="http://schemas.microsoft.com/office/drawing/2014/chart" uri="{C3380CC4-5D6E-409C-BE32-E72D297353CC}">
                  <c16:uniqueId val="{00000001-56E0-4688-ADF7-1CA97045C09C}"/>
                </c:ext>
              </c:extLst>
            </c:dLbl>
            <c:dLbl>
              <c:idx val="1"/>
              <c:layout>
                <c:manualLayout>
                  <c:x val="5.9809613350569987E-2"/>
                  <c:y val="6.06211157095651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3197372716470142"/>
                      <c:h val="0.16477131059029629"/>
                    </c:manualLayout>
                  </c15:layout>
                </c:ext>
                <c:ext xmlns:c16="http://schemas.microsoft.com/office/drawing/2014/chart" uri="{C3380CC4-5D6E-409C-BE32-E72D297353CC}">
                  <c16:uniqueId val="{00000003-56E0-4688-ADF7-1CA97045C0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Sheet1!$B$19:$C$19</c:f>
              <c:strCache>
                <c:ptCount val="2"/>
                <c:pt idx="0">
                  <c:v>Total Payments</c:v>
                </c:pt>
                <c:pt idx="1">
                  <c:v>Relocation</c:v>
                </c:pt>
              </c:strCache>
            </c:strRef>
          </c:cat>
          <c:val>
            <c:numRef>
              <c:f>Sheet1!$B$20:$C$20</c:f>
              <c:numCache>
                <c:formatCode>"$"#,##0</c:formatCode>
                <c:ptCount val="2"/>
                <c:pt idx="0" formatCode="&quot;$&quot;#,##0_);[Red]\(&quot;$&quot;#,##0\)">
                  <c:v>15683674</c:v>
                </c:pt>
                <c:pt idx="1">
                  <c:v>4338816</c:v>
                </c:pt>
              </c:numCache>
            </c:numRef>
          </c:val>
          <c:extLst>
            <c:ext xmlns:c16="http://schemas.microsoft.com/office/drawing/2014/chart" uri="{C3380CC4-5D6E-409C-BE32-E72D297353CC}">
              <c16:uniqueId val="{00000004-56E0-4688-ADF7-1CA97045C0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Sheet1!$A$22</c:f>
              <c:strCache>
                <c:ptCount val="1"/>
                <c:pt idx="0">
                  <c:v>FFY 2018-19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D8-4C07-BD1A-E9F77B7D6E89}"/>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ED8-4C07-BD1A-E9F77B7D6E89}"/>
              </c:ext>
            </c:extLst>
          </c:dPt>
          <c:dLbls>
            <c:dLbl>
              <c:idx val="0"/>
              <c:layout>
                <c:manualLayout>
                  <c:x val="-7.6335857470069216E-3"/>
                  <c:y val="-9.204562978078349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41550428682941321"/>
                      <c:h val="0.2029564117659039"/>
                    </c:manualLayout>
                  </c15:layout>
                </c:ext>
                <c:ext xmlns:c16="http://schemas.microsoft.com/office/drawing/2014/chart" uri="{C3380CC4-5D6E-409C-BE32-E72D297353CC}">
                  <c16:uniqueId val="{00000001-DED8-4C07-BD1A-E9F77B7D6E89}"/>
                </c:ext>
              </c:extLst>
            </c:dLbl>
            <c:dLbl>
              <c:idx val="1"/>
              <c:layout>
                <c:manualLayout>
                  <c:x val="3.7931507969116235E-2"/>
                  <c:y val="6.809067376859820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41041522966474198"/>
                      <c:h val="0.18457279302014098"/>
                    </c:manualLayout>
                  </c15:layout>
                </c:ext>
                <c:ext xmlns:c16="http://schemas.microsoft.com/office/drawing/2014/chart" uri="{C3380CC4-5D6E-409C-BE32-E72D297353CC}">
                  <c16:uniqueId val="{00000003-DED8-4C07-BD1A-E9F77B7D6E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Sheet1!$B$21:$C$21</c:f>
              <c:strCache>
                <c:ptCount val="2"/>
                <c:pt idx="0">
                  <c:v>Total Payments</c:v>
                </c:pt>
                <c:pt idx="1">
                  <c:v>Relocation</c:v>
                </c:pt>
              </c:strCache>
            </c:strRef>
          </c:cat>
          <c:val>
            <c:numRef>
              <c:f>Sheet1!$B$22:$C$22</c:f>
              <c:numCache>
                <c:formatCode>"$"#,##0</c:formatCode>
                <c:ptCount val="2"/>
                <c:pt idx="0" formatCode="&quot;$&quot;#,##0_);[Red]\(&quot;$&quot;#,##0\)">
                  <c:v>19329368</c:v>
                </c:pt>
                <c:pt idx="1">
                  <c:v>6120349</c:v>
                </c:pt>
              </c:numCache>
            </c:numRef>
          </c:val>
          <c:extLst>
            <c:ext xmlns:c16="http://schemas.microsoft.com/office/drawing/2014/chart" uri="{C3380CC4-5D6E-409C-BE32-E72D297353CC}">
              <c16:uniqueId val="{00000004-DED8-4C07-BD1A-E9F77B7D6E8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Sheet1!$A$24</c:f>
              <c:strCache>
                <c:ptCount val="1"/>
                <c:pt idx="0">
                  <c:v>FFY 2019-20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03-479C-99F3-4A75268AD322}"/>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5C03-479C-99F3-4A75268AD322}"/>
              </c:ext>
            </c:extLst>
          </c:dPt>
          <c:dLbls>
            <c:dLbl>
              <c:idx val="0"/>
              <c:layout>
                <c:manualLayout>
                  <c:x val="-2.598342750973525E-2"/>
                  <c:y val="-4.404363455516637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41276902004009608"/>
                      <c:h val="0.11456179163730439"/>
                    </c:manualLayout>
                  </c15:layout>
                </c:ext>
                <c:ext xmlns:c16="http://schemas.microsoft.com/office/drawing/2014/chart" uri="{C3380CC4-5D6E-409C-BE32-E72D297353CC}">
                  <c16:uniqueId val="{00000001-5C03-479C-99F3-4A75268AD322}"/>
                </c:ext>
              </c:extLst>
            </c:dLbl>
            <c:dLbl>
              <c:idx val="1"/>
              <c:layout>
                <c:manualLayout>
                  <c:x val="0"/>
                  <c:y val="9.79728119364862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47091303020113978"/>
                      <c:h val="0.17650797487443956"/>
                    </c:manualLayout>
                  </c15:layout>
                </c:ext>
                <c:ext xmlns:c16="http://schemas.microsoft.com/office/drawing/2014/chart" uri="{C3380CC4-5D6E-409C-BE32-E72D297353CC}">
                  <c16:uniqueId val="{00000003-5C03-479C-99F3-4A75268AD3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Sheet1!$B$23:$C$23</c:f>
              <c:strCache>
                <c:ptCount val="2"/>
                <c:pt idx="0">
                  <c:v>Total Payments</c:v>
                </c:pt>
                <c:pt idx="1">
                  <c:v>Relocation</c:v>
                </c:pt>
              </c:strCache>
            </c:strRef>
          </c:cat>
          <c:val>
            <c:numRef>
              <c:f>Sheet1!$B$24:$C$24</c:f>
              <c:numCache>
                <c:formatCode>"$"#,##0</c:formatCode>
                <c:ptCount val="2"/>
                <c:pt idx="0" formatCode="[$-10409]&quot;$&quot;#,##0;\(&quot;$&quot;#,##0\)">
                  <c:v>12360648</c:v>
                </c:pt>
                <c:pt idx="1">
                  <c:v>3162030</c:v>
                </c:pt>
              </c:numCache>
            </c:numRef>
          </c:val>
          <c:extLst>
            <c:ext xmlns:c16="http://schemas.microsoft.com/office/drawing/2014/chart" uri="{C3380CC4-5D6E-409C-BE32-E72D297353CC}">
              <c16:uniqueId val="{00000004-5C03-479C-99F3-4A75268AD3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Crum</dc:creator>
  <cp:keywords/>
  <dc:description/>
  <cp:lastModifiedBy>dan</cp:lastModifiedBy>
  <cp:revision>2</cp:revision>
  <dcterms:created xsi:type="dcterms:W3CDTF">2021-02-17T15:25:00Z</dcterms:created>
  <dcterms:modified xsi:type="dcterms:W3CDTF">2021-02-17T15:25:00Z</dcterms:modified>
</cp:coreProperties>
</file>